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93CD3" w14:textId="4FBF90F0" w:rsidR="00A61D71" w:rsidRPr="00A61D71" w:rsidRDefault="00A61D71" w:rsidP="6231E9BA">
      <w:pPr>
        <w:spacing w:after="120" w:line="240" w:lineRule="auto"/>
        <w:ind w:left="720" w:hanging="720"/>
        <w:outlineLvl w:val="1"/>
        <w:rPr>
          <w:rFonts w:ascii="Arial" w:eastAsia="Arial" w:hAnsi="Arial" w:cs="Times New Roman"/>
          <w:b/>
          <w:bCs/>
          <w:color w:val="0070C0"/>
          <w:kern w:val="0"/>
          <w:sz w:val="32"/>
          <w:szCs w:val="32"/>
          <w14:ligatures w14:val="none"/>
        </w:rPr>
      </w:pPr>
      <w:proofErr w:type="spellStart"/>
      <w:r w:rsidRPr="6231E9BA">
        <w:rPr>
          <w:rFonts w:ascii="Arial" w:eastAsia="Arial" w:hAnsi="Arial" w:cs="Times New Roman"/>
          <w:b/>
          <w:bCs/>
          <w:color w:val="0070C0"/>
          <w:kern w:val="0"/>
          <w:sz w:val="32"/>
          <w:szCs w:val="32"/>
          <w14:ligatures w14:val="none"/>
        </w:rPr>
        <w:t>P</w:t>
      </w:r>
      <w:r w:rsidR="4FDBCFA4" w:rsidRPr="6231E9BA">
        <w:rPr>
          <w:rFonts w:ascii="Arial" w:eastAsia="Arial" w:hAnsi="Arial" w:cs="Times New Roman"/>
          <w:b/>
          <w:bCs/>
          <w:color w:val="0070C0"/>
          <w:kern w:val="0"/>
          <w:sz w:val="32"/>
          <w:szCs w:val="32"/>
          <w14:ligatures w14:val="none"/>
        </w:rPr>
        <w:t>o</w:t>
      </w:r>
      <w:r w:rsidRPr="6231E9BA">
        <w:rPr>
          <w:rFonts w:ascii="Arial" w:eastAsia="Arial" w:hAnsi="Arial" w:cs="Times New Roman"/>
          <w:b/>
          <w:bCs/>
          <w:color w:val="0070C0"/>
          <w:kern w:val="0"/>
          <w:sz w:val="32"/>
          <w:szCs w:val="32"/>
          <w14:ligatures w14:val="none"/>
        </w:rPr>
        <w:t>TS</w:t>
      </w:r>
      <w:proofErr w:type="spellEnd"/>
      <w:r w:rsidR="47518634" w:rsidRPr="6231E9BA">
        <w:rPr>
          <w:rFonts w:ascii="Arial" w:eastAsia="Arial" w:hAnsi="Arial" w:cs="Times New Roman"/>
          <w:b/>
          <w:bCs/>
          <w:color w:val="0070C0"/>
          <w:kern w:val="0"/>
          <w:sz w:val="32"/>
          <w:szCs w:val="32"/>
          <w14:ligatures w14:val="none"/>
        </w:rPr>
        <w:t xml:space="preserve"> – Postural Tachycardia Syndrome</w:t>
      </w:r>
    </w:p>
    <w:p w14:paraId="4B7FD7B4" w14:textId="1947A8A4" w:rsidR="00C47DEC" w:rsidRDefault="00A61D71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6D1D6215" wp14:editId="400F1CAB">
                <wp:extent cx="6477000" cy="424180"/>
                <wp:effectExtent l="0" t="0" r="0" b="0"/>
                <wp:docPr id="1567586672" name="Rectangle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66F7461E-61A1-4713-A010-232A9359A1B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424180"/>
                        </a:xfrm>
                        <a:prstGeom prst="rect">
                          <a:avLst/>
                        </a:prstGeom>
                        <a:solidFill>
                          <a:srgbClr val="005EB8"/>
                        </a:solidFill>
                        <a:ln w="12700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37A9D9D4" w14:textId="77777777" w:rsidR="00CD4B3F" w:rsidRPr="005C29A6" w:rsidRDefault="00CD4B3F" w:rsidP="00CD4B3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FFFFFF"/>
                                <w:kern w:val="0"/>
                                <w14:ligatures w14:val="none"/>
                              </w:rPr>
                            </w:pPr>
                            <w:r w:rsidRPr="005C29A6">
                              <w:rPr>
                                <w:rFonts w:ascii="Arial" w:hAnsi="Arial" w:cs="Arial"/>
                                <w:color w:val="FFFFFF"/>
                              </w:rPr>
                              <w:t>The content of this Advice and Guidance response template was co-written with input from PoTS UK.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1D6215" id="Rectangle 10" o:spid="_x0000_s1026" style="width:510pt;height:3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" fillcolor="#005eb8" stroked="f" strokeweight="1pt">
                <v:textbox>
                  <w:txbxContent>
                    <w:p w14:paraId="37A9D9D4" w14:textId="77777777" w:rsidR="00CD4B3F" w:rsidRPr="005C29A6" w:rsidRDefault="00CD4B3F" w:rsidP="00CD4B3F">
                      <w:pPr>
                        <w:spacing w:line="276" w:lineRule="auto"/>
                        <w:rPr>
                          <w:rFonts w:ascii="Arial" w:hAnsi="Arial" w:cs="Arial"/>
                          <w:color w:val="FFFFFF"/>
                          <w:kern w:val="0"/>
                          <w14:ligatures w14:val="none"/>
                        </w:rPr>
                      </w:pPr>
                      <w:r w:rsidRPr="005C29A6">
                        <w:rPr>
                          <w:rFonts w:ascii="Arial" w:hAnsi="Arial" w:cs="Arial"/>
                          <w:color w:val="FFFFFF"/>
                        </w:rPr>
                        <w:t>The content of this Advice and Guidance response template was co-written with input from PoTS UK.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Style w:val="PlainTable11"/>
        <w:tblW w:w="10206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10206"/>
      </w:tblGrid>
      <w:tr w:rsidR="00A61D71" w:rsidRPr="004F58F9" w14:paraId="0CF1E26E" w14:textId="77777777" w:rsidTr="1850C5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shd w:val="clear" w:color="auto" w:fill="D9D9D9" w:themeFill="background1" w:themeFillShade="D9"/>
            <w:vAlign w:val="center"/>
          </w:tcPr>
          <w:p w14:paraId="0406B6F8" w14:textId="77777777" w:rsidR="00A61D71" w:rsidRPr="004F58F9" w:rsidRDefault="00A61D71" w:rsidP="00CD4B3F">
            <w:pPr>
              <w:rPr>
                <w:rFonts w:ascii="Arial" w:eastAsia="Arial" w:hAnsi="Arial" w:cs="Times New Roman"/>
                <w:b w:val="0"/>
                <w:bCs w:val="0"/>
              </w:rPr>
            </w:pPr>
            <w:r w:rsidRPr="004F58F9">
              <w:rPr>
                <w:rFonts w:ascii="Arial" w:eastAsia="Arial" w:hAnsi="Arial" w:cs="Times New Roman"/>
                <w:b w:val="0"/>
                <w:bCs w:val="0"/>
              </w:rPr>
              <w:t>Dear  [Dr ____],</w:t>
            </w:r>
          </w:p>
          <w:p w14:paraId="10A601B8" w14:textId="77777777" w:rsidR="00A61D71" w:rsidRPr="004F58F9" w:rsidRDefault="00A61D71" w:rsidP="00CD4B3F">
            <w:pPr>
              <w:rPr>
                <w:rFonts w:ascii="Arial" w:eastAsia="Arial" w:hAnsi="Arial" w:cs="Times New Roman"/>
                <w:b w:val="0"/>
                <w:bCs w:val="0"/>
              </w:rPr>
            </w:pPr>
          </w:p>
          <w:p w14:paraId="4B9C971B" w14:textId="77777777" w:rsidR="00A61D71" w:rsidRDefault="00A61D71" w:rsidP="00CD4B3F">
            <w:pPr>
              <w:rPr>
                <w:rFonts w:ascii="Arial" w:eastAsia="Arial" w:hAnsi="Arial" w:cs="Times New Roman"/>
              </w:rPr>
            </w:pPr>
            <w:r w:rsidRPr="004F58F9">
              <w:rPr>
                <w:rFonts w:ascii="Arial" w:eastAsia="Arial" w:hAnsi="Arial" w:cs="Times New Roman"/>
                <w:b w:val="0"/>
                <w:bCs w:val="0"/>
              </w:rPr>
              <w:t xml:space="preserve">Advice and guidance response </w:t>
            </w:r>
            <w:r>
              <w:rPr>
                <w:rFonts w:ascii="Arial" w:eastAsia="Arial" w:hAnsi="Arial" w:cs="Times New Roman"/>
                <w:b w:val="0"/>
                <w:bCs w:val="0"/>
              </w:rPr>
              <w:t>regarding</w:t>
            </w:r>
            <w:r w:rsidRPr="004F58F9">
              <w:rPr>
                <w:rFonts w:ascii="Arial" w:eastAsia="Arial" w:hAnsi="Arial" w:cs="Times New Roman"/>
                <w:b w:val="0"/>
                <w:bCs w:val="0"/>
              </w:rPr>
              <w:t xml:space="preserve"> [Patient name]</w:t>
            </w:r>
          </w:p>
          <w:p w14:paraId="515DC78A" w14:textId="77777777" w:rsidR="00A61D71" w:rsidRDefault="00A61D71" w:rsidP="00CD4B3F">
            <w:pPr>
              <w:rPr>
                <w:rFonts w:ascii="Arial" w:eastAsia="Arial" w:hAnsi="Arial" w:cs="Times New Roman"/>
              </w:rPr>
            </w:pPr>
          </w:p>
          <w:p w14:paraId="15BCE615" w14:textId="77777777" w:rsidR="00A61D71" w:rsidRPr="00B7709E" w:rsidRDefault="00A61D71" w:rsidP="00CD4B3F">
            <w:pPr>
              <w:ind w:right="140"/>
              <w:rPr>
                <w:rFonts w:ascii="Arial" w:eastAsia="Calibri" w:hAnsi="Arial" w:cs="Arial"/>
                <w:kern w:val="2"/>
                <w14:ligatures w14:val="standardContextual"/>
              </w:rPr>
            </w:pPr>
            <w:r w:rsidRPr="00B7709E">
              <w:rPr>
                <w:rFonts w:ascii="Arial" w:eastAsia="Calibri" w:hAnsi="Arial" w:cs="Arial"/>
                <w:kern w:val="2"/>
                <w14:ligatures w14:val="standardContextual"/>
              </w:rPr>
              <w:t>General information:</w:t>
            </w:r>
          </w:p>
          <w:p w14:paraId="0AD36B28" w14:textId="45B91F23" w:rsidR="00A61D71" w:rsidRPr="00825A60" w:rsidRDefault="00A61D71" w:rsidP="00CD4B3F">
            <w:pPr>
              <w:spacing w:after="160" w:line="259" w:lineRule="auto"/>
              <w:ind w:right="140"/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</w:pPr>
            <w:r w:rsidRPr="6231E9BA">
              <w:rPr>
                <w:rFonts w:ascii="Arial" w:eastAsia="Calibri" w:hAnsi="Arial" w:cs="Arial"/>
                <w:kern w:val="2"/>
                <w14:ligatures w14:val="standardContextual"/>
              </w:rPr>
              <w:t>Po</w:t>
            </w:r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 xml:space="preserve">stural </w:t>
            </w:r>
            <w:r w:rsidR="5553FD71" w:rsidRPr="6231E9BA">
              <w:rPr>
                <w:rFonts w:ascii="Arial" w:eastAsia="Calibri" w:hAnsi="Arial" w:cs="Arial"/>
                <w:kern w:val="2"/>
                <w14:ligatures w14:val="standardContextual"/>
              </w:rPr>
              <w:t>O</w:t>
            </w:r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 xml:space="preserve">rthostatic </w:t>
            </w:r>
            <w:r w:rsidR="60660084" w:rsidRPr="6231E9BA">
              <w:rPr>
                <w:rFonts w:ascii="Arial" w:eastAsia="Calibri" w:hAnsi="Arial" w:cs="Arial"/>
                <w:kern w:val="2"/>
                <w14:ligatures w14:val="standardContextual"/>
              </w:rPr>
              <w:t>T</w:t>
            </w:r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achycardia syndrome (</w:t>
            </w:r>
            <w:proofErr w:type="spellStart"/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P</w:t>
            </w:r>
            <w:r w:rsidR="4D29726B"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o</w:t>
            </w:r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TS</w:t>
            </w:r>
            <w:proofErr w:type="spellEnd"/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 xml:space="preserve">) is defined as orthostatic intolerance symptoms i.e. symptoms such as dizziness, </w:t>
            </w:r>
            <w:r w:rsidR="6C3EF709"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 xml:space="preserve">palpitations, </w:t>
            </w:r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 xml:space="preserve">breathlessness, chest pain, sweating when upright/standing which have been going on for more than three months associated with a </w:t>
            </w:r>
            <w:r w:rsidR="262B3F09"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persistent</w:t>
            </w:r>
            <w:r w:rsidR="734831A9"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 xml:space="preserve"> </w:t>
            </w:r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 xml:space="preserve">heart rate rise of or more than 30 beats per minute (or 40 beats per minute in teenagers), </w:t>
            </w:r>
            <w:r w:rsidRPr="00E23D40">
              <w:rPr>
                <w:rFonts w:ascii="Arial" w:eastAsia="Calibri" w:hAnsi="Arial" w:cs="Arial"/>
                <w:kern w:val="2"/>
                <w14:ligatures w14:val="standardContextual"/>
              </w:rPr>
              <w:t>without</w:t>
            </w:r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 xml:space="preserve"> orthostatic hypotension, and not explained by another cause. It is part of a spectrum of ‘orthostatic intolerance’ conditions, so even individuals who do not fulfil these exact criteria, but have associated symptoms, should receive the same advice.</w:t>
            </w:r>
          </w:p>
          <w:p w14:paraId="6BC2817F" w14:textId="71D2E4C9" w:rsidR="00A61D71" w:rsidRPr="00825A60" w:rsidRDefault="00A61D71" w:rsidP="00CD4B3F">
            <w:pPr>
              <w:spacing w:after="160" w:line="259" w:lineRule="auto"/>
              <w:ind w:right="140"/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</w:pPr>
            <w:proofErr w:type="spellStart"/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P</w:t>
            </w:r>
            <w:r w:rsidR="21E06C7C"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o</w:t>
            </w:r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TS</w:t>
            </w:r>
            <w:proofErr w:type="spellEnd"/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 xml:space="preserve"> is more common in young women but can occur in children and men and can present in teenage years or early twenties. Symptoms can be unpredictable, and follow a fluctuating course, which can be frustrating for affected individuals.</w:t>
            </w:r>
          </w:p>
          <w:p w14:paraId="1FEEC62C" w14:textId="77777777" w:rsidR="00A61D71" w:rsidRPr="00825A60" w:rsidRDefault="00A61D71" w:rsidP="00CD4B3F">
            <w:pPr>
              <w:spacing w:after="160" w:line="259" w:lineRule="auto"/>
              <w:ind w:right="140"/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</w:pPr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 xml:space="preserve">Whilst not life threatening, this condition can be associated with a substantially impaired quality of life. There is often a long delay to the diagnosis, and as such affected people often feel misunderstood and unrecognised when contacting medical professionals. </w:t>
            </w:r>
          </w:p>
          <w:p w14:paraId="26354227" w14:textId="5DB13DCF" w:rsidR="00A61D71" w:rsidRPr="00825A60" w:rsidRDefault="00A61D71" w:rsidP="00CD4B3F">
            <w:pPr>
              <w:spacing w:after="160" w:line="259" w:lineRule="auto"/>
              <w:ind w:right="140"/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</w:pPr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 xml:space="preserve">Clear understanding of the physiology of </w:t>
            </w:r>
            <w:proofErr w:type="spellStart"/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P</w:t>
            </w:r>
            <w:r w:rsidR="3D2B3462"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o</w:t>
            </w:r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TS</w:t>
            </w:r>
            <w:proofErr w:type="spellEnd"/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 xml:space="preserve"> is essential (for both clinicians and patients), and there are excellent patient related resources that can provide clear explanations (e.g. </w:t>
            </w:r>
            <w:proofErr w:type="spellStart"/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P</w:t>
            </w:r>
            <w:r w:rsidR="3D429615"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o</w:t>
            </w:r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TS</w:t>
            </w:r>
            <w:proofErr w:type="spellEnd"/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 xml:space="preserve"> UK, </w:t>
            </w:r>
            <w:proofErr w:type="spellStart"/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Stop</w:t>
            </w:r>
            <w:r w:rsidR="1CF7A475"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F</w:t>
            </w:r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ainting</w:t>
            </w:r>
            <w:proofErr w:type="spellEnd"/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). The cornerstone</w:t>
            </w:r>
            <w:r w:rsidR="77CB86B9"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s</w:t>
            </w:r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 xml:space="preserve"> of management are lifestyle measures – education, ensuring fluid and salt repletion, </w:t>
            </w:r>
            <w:hyperlink r:id="rId8" w:history="1">
              <w:r w:rsidR="00FE578F" w:rsidRPr="00B85EC2">
                <w:rPr>
                  <w:rStyle w:val="Hyperlink"/>
                  <w:rFonts w:ascii="Arial" w:eastAsia="Calibri" w:hAnsi="Arial" w:cs="Arial"/>
                  <w:b w:val="0"/>
                  <w:bCs w:val="0"/>
                  <w:color w:val="003087"/>
                  <w:kern w:val="2"/>
                  <w14:ligatures w14:val="standardContextual"/>
                </w:rPr>
                <w:t xml:space="preserve">isometric </w:t>
              </w:r>
              <w:r w:rsidR="00FE578F" w:rsidRPr="00B85EC2">
                <w:rPr>
                  <w:rStyle w:val="Hyperlink"/>
                  <w:rFonts w:ascii="Arial" w:eastAsia="Calibri" w:hAnsi="Arial" w:cs="Arial"/>
                  <w:b w:val="0"/>
                  <w:bCs w:val="0"/>
                  <w:color w:val="003087"/>
                  <w:kern w:val="2"/>
                  <w14:ligatures w14:val="standardContextual"/>
                </w:rPr>
                <w:t>c</w:t>
              </w:r>
              <w:r w:rsidR="00FE578F" w:rsidRPr="00B85EC2">
                <w:rPr>
                  <w:rStyle w:val="Hyperlink"/>
                  <w:rFonts w:ascii="Arial" w:eastAsia="Calibri" w:hAnsi="Arial" w:cs="Arial"/>
                  <w:b w:val="0"/>
                  <w:bCs w:val="0"/>
                  <w:color w:val="003087"/>
                  <w:kern w:val="2"/>
                  <w14:ligatures w14:val="standardContextual"/>
                </w:rPr>
                <w:t>ounterpressure exercises</w:t>
              </w:r>
            </w:hyperlink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 xml:space="preserve">, compression garments, having adequate rest and working within individual energy envelopes by adopting strategies to manage physical and mental stress. </w:t>
            </w:r>
            <w:r w:rsidRPr="00825A60">
              <w:rPr>
                <w:rFonts w:ascii="Arial" w:eastAsia="Yu Mincho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standardContextual"/>
              </w:rPr>
              <w:t>With clear explanations of physiology and conservative measures</w:t>
            </w:r>
            <w:r w:rsidR="5E379FCA" w:rsidRPr="00825A60">
              <w:rPr>
                <w:rFonts w:ascii="Arial" w:eastAsia="Yu Mincho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standardContextual"/>
              </w:rPr>
              <w:t xml:space="preserve"> are moderately effective, but some</w:t>
            </w:r>
            <w:r w:rsidRPr="00825A60">
              <w:rPr>
                <w:rFonts w:ascii="Arial" w:eastAsia="Yu Mincho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standardContextual"/>
              </w:rPr>
              <w:t xml:space="preserve"> patients</w:t>
            </w:r>
            <w:r w:rsidR="360BA00C" w:rsidRPr="00825A60">
              <w:rPr>
                <w:rFonts w:ascii="Arial" w:eastAsia="Yu Mincho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standardContextual"/>
              </w:rPr>
              <w:t xml:space="preserve"> </w:t>
            </w:r>
            <w:r w:rsidRPr="00825A60">
              <w:rPr>
                <w:rFonts w:ascii="Arial" w:eastAsia="Yu Mincho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standardContextual"/>
              </w:rPr>
              <w:t>will need ongoing support in primary and secondary care.</w:t>
            </w:r>
          </w:p>
          <w:p w14:paraId="6437A689" w14:textId="024A266F" w:rsidR="00A61D71" w:rsidRDefault="00A61D71" w:rsidP="00CD4B3F">
            <w:pPr>
              <w:spacing w:after="160" w:line="259" w:lineRule="auto"/>
              <w:ind w:right="140"/>
              <w:rPr>
                <w:rFonts w:ascii="Arial" w:eastAsia="Yu Mincho" w:hAnsi="Arial" w:cs="Arial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standardContextual"/>
              </w:rPr>
            </w:pPr>
            <w:r w:rsidRPr="00825A60">
              <w:rPr>
                <w:rFonts w:ascii="Arial" w:eastAsia="Calibri" w:hAnsi="Arial" w:cs="Arial"/>
                <w:b w:val="0"/>
                <w:bCs w:val="0"/>
                <w:kern w:val="2"/>
                <w14:ligatures w14:val="standardContextual"/>
              </w:rPr>
              <w:t>There</w:t>
            </w:r>
            <w:r w:rsidRPr="00825A60">
              <w:rPr>
                <w:rFonts w:ascii="Arial" w:eastAsia="Yu Mincho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standardContextual"/>
              </w:rPr>
              <w:t xml:space="preserve"> are multiple associated systemic symptoms – including temperature dysregulation, bladder and gut disorders, </w:t>
            </w:r>
            <w:r w:rsidR="514CF3CB" w:rsidRPr="00825A60">
              <w:rPr>
                <w:rFonts w:ascii="Arial" w:eastAsia="Yu Mincho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standardContextual"/>
              </w:rPr>
              <w:t xml:space="preserve">migraine, </w:t>
            </w:r>
            <w:r w:rsidRPr="00825A60">
              <w:rPr>
                <w:rFonts w:ascii="Arial" w:eastAsia="Yu Mincho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standardContextual"/>
              </w:rPr>
              <w:t>brain fog, and overlap with conditions such as chronic fatigue syndrome, joint hypermobility</w:t>
            </w:r>
            <w:r w:rsidR="19AE05BA" w:rsidRPr="00825A60">
              <w:rPr>
                <w:rFonts w:ascii="Arial" w:eastAsia="Yu Mincho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standardContextual"/>
              </w:rPr>
              <w:t>, long covid, autoimmune conditions, neurodiverse conditions</w:t>
            </w:r>
            <w:r w:rsidRPr="00825A60">
              <w:rPr>
                <w:rFonts w:ascii="Arial" w:eastAsia="Yu Mincho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standardContextual"/>
              </w:rPr>
              <w:t xml:space="preserve"> and mood disorders. These extra-circulatory symptoms need evaluation and management in their own right</w:t>
            </w:r>
            <w:r w:rsidR="07E0D1E9" w:rsidRPr="00825A60">
              <w:rPr>
                <w:rFonts w:ascii="Arial" w:eastAsia="Yu Mincho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standardContextual"/>
              </w:rPr>
              <w:t xml:space="preserve"> in line with usual clinical pathways</w:t>
            </w:r>
            <w:r w:rsidRPr="00825A60">
              <w:rPr>
                <w:rFonts w:ascii="Arial" w:eastAsia="Yu Mincho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standardContextual"/>
              </w:rPr>
              <w:t xml:space="preserve">; this document focusses on the cardiovascular symptoms. </w:t>
            </w:r>
          </w:p>
          <w:p w14:paraId="45FCC3D7" w14:textId="246C8A47" w:rsidR="00A61D71" w:rsidRPr="000E28A6" w:rsidRDefault="00A61D71" w:rsidP="00CD4B3F">
            <w:pPr>
              <w:spacing w:after="160" w:line="259" w:lineRule="auto"/>
              <w:ind w:right="140"/>
              <w:rPr>
                <w:rFonts w:ascii="Arial" w:eastAsia="Yu Mincho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standardContextual"/>
              </w:rPr>
            </w:pPr>
            <w:r w:rsidRPr="6231E9BA">
              <w:rPr>
                <w:rFonts w:ascii="Arial" w:eastAsiaTheme="minorEastAsia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</w:rPr>
              <w:t xml:space="preserve">For patients with </w:t>
            </w:r>
            <w:proofErr w:type="spellStart"/>
            <w:r w:rsidRPr="6231E9BA">
              <w:rPr>
                <w:rFonts w:ascii="Arial" w:eastAsiaTheme="minorEastAsia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</w:rPr>
              <w:t>P</w:t>
            </w:r>
            <w:r w:rsidR="7459C6FC" w:rsidRPr="6231E9BA">
              <w:rPr>
                <w:rFonts w:ascii="Arial" w:eastAsiaTheme="minorEastAsia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</w:rPr>
              <w:t>o</w:t>
            </w:r>
            <w:r w:rsidRPr="6231E9BA">
              <w:rPr>
                <w:rFonts w:ascii="Arial" w:eastAsiaTheme="minorEastAsia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</w:rPr>
              <w:t>TS</w:t>
            </w:r>
            <w:proofErr w:type="spellEnd"/>
            <w:r w:rsidRPr="6231E9BA">
              <w:rPr>
                <w:rFonts w:ascii="Arial" w:eastAsiaTheme="minorEastAsia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</w:rPr>
              <w:t xml:space="preserve"> and syncope, clinicians are advised to review the pre-referral guide on Syncope/TLOC</w:t>
            </w:r>
            <w:r w:rsidR="7DC434A3" w:rsidRPr="6231E9BA">
              <w:rPr>
                <w:rFonts w:ascii="Arial" w:eastAsiaTheme="minorEastAsia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</w:rPr>
              <w:t xml:space="preserve"> </w:t>
            </w:r>
            <w:r w:rsidR="7DC434A3" w:rsidRPr="6231E9BA">
              <w:rPr>
                <w:rFonts w:ascii="Arial" w:eastAsiaTheme="minorEastAsia" w:hAnsi="Arial" w:cs="Arial"/>
                <w:b w:val="0"/>
                <w:bCs w:val="0"/>
                <w:color w:val="181717"/>
                <w:kern w:val="24"/>
                <w:highlight w:val="yellow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</w:rPr>
              <w:t>(link to be added when published)</w:t>
            </w:r>
            <w:r w:rsidRPr="6231E9BA">
              <w:rPr>
                <w:rFonts w:ascii="Arial" w:eastAsiaTheme="minorEastAsia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</w:rPr>
              <w:t>.</w:t>
            </w:r>
          </w:p>
        </w:tc>
      </w:tr>
      <w:tr w:rsidR="00A61D71" w:rsidRPr="004F58F9" w14:paraId="64F31D6A" w14:textId="77777777" w:rsidTr="1850C53F">
        <w:trPr>
          <w:trHeight w:val="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shd w:val="clear" w:color="auto" w:fill="ADFFE5"/>
            <w:vAlign w:val="center"/>
          </w:tcPr>
          <w:p w14:paraId="368848D7" w14:textId="77777777" w:rsidR="00A61D71" w:rsidRPr="00CE112A" w:rsidRDefault="00A61D71" w:rsidP="00CD4B3F">
            <w:pPr>
              <w:spacing w:before="100" w:beforeAutospacing="1"/>
              <w:rPr>
                <w:rFonts w:ascii="Arial" w:eastAsia="Times New Roman" w:hAnsi="Arial" w:cs="Arial"/>
                <w:lang w:eastAsia="en-GB"/>
              </w:rPr>
            </w:pPr>
            <w:r w:rsidRPr="005A7B50">
              <w:rPr>
                <w:rFonts w:ascii="Arial" w:eastAsia="Times New Roman" w:hAnsi="Arial" w:cs="Arial"/>
                <w:lang w:eastAsia="en-GB"/>
              </w:rPr>
              <w:t>Diagnose based on:</w:t>
            </w:r>
          </w:p>
          <w:p w14:paraId="255F2065" w14:textId="4A2D8698" w:rsidR="00A61D71" w:rsidRPr="00682BB8" w:rsidRDefault="00A61D71" w:rsidP="6231E9BA">
            <w:pPr>
              <w:pStyle w:val="ListParagraph"/>
              <w:numPr>
                <w:ilvl w:val="0"/>
                <w:numId w:val="15"/>
              </w:numPr>
              <w:spacing w:after="100" w:afterAutospacing="1"/>
              <w:ind w:hanging="357"/>
              <w:rPr>
                <w:rFonts w:ascii="Arial" w:eastAsia="Times New Roman" w:hAnsi="Arial" w:cs="Arial"/>
                <w:lang w:eastAsia="en-GB"/>
              </w:rPr>
            </w:pPr>
            <w:r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Orthostatic intolerance symptoms (e.g. dizziness, </w:t>
            </w:r>
            <w:r w:rsidR="6E6B173C"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palpitations, </w:t>
            </w:r>
            <w:r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breathlessness, chest pain, sweating) when upright/standing lasting &gt;3 months</w:t>
            </w:r>
          </w:p>
          <w:p w14:paraId="4D6A96AF" w14:textId="21BA84B3" w:rsidR="00A61D71" w:rsidRPr="00682BB8" w:rsidRDefault="2C503F6B" w:rsidP="6231E9BA">
            <w:pPr>
              <w:pStyle w:val="ListParagraph"/>
              <w:numPr>
                <w:ilvl w:val="0"/>
                <w:numId w:val="15"/>
              </w:numPr>
              <w:spacing w:after="100" w:afterAutospacing="1"/>
              <w:ind w:hanging="357"/>
              <w:rPr>
                <w:rFonts w:ascii="Arial" w:eastAsia="Times New Roman" w:hAnsi="Arial" w:cs="Arial"/>
                <w:lang w:eastAsia="en-GB"/>
              </w:rPr>
            </w:pPr>
            <w:r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Persistent </w:t>
            </w:r>
            <w:r w:rsidR="71B9E385"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h</w:t>
            </w:r>
            <w:r w:rsidR="00A61D71"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eart rate rise ≥30 bpm (≥40 bpm in teenagers)</w:t>
            </w:r>
          </w:p>
          <w:p w14:paraId="0D23A92B" w14:textId="77777777" w:rsidR="00A61D71" w:rsidRPr="00682BB8" w:rsidRDefault="00A61D71" w:rsidP="00A61D71">
            <w:pPr>
              <w:pStyle w:val="ListParagraph"/>
              <w:numPr>
                <w:ilvl w:val="0"/>
                <w:numId w:val="15"/>
              </w:numPr>
              <w:spacing w:after="100" w:afterAutospacing="1"/>
              <w:ind w:hanging="357"/>
              <w:rPr>
                <w:rFonts w:ascii="Arial" w:eastAsia="Times New Roman" w:hAnsi="Arial" w:cs="Arial"/>
                <w:lang w:eastAsia="en-GB"/>
              </w:rPr>
            </w:pPr>
            <w:r w:rsidRPr="00682BB8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No orthostatic hypotension</w:t>
            </w:r>
          </w:p>
          <w:p w14:paraId="2C1D982F" w14:textId="77777777" w:rsidR="00A61D71" w:rsidRPr="00682BB8" w:rsidRDefault="00A61D71" w:rsidP="00A61D71">
            <w:pPr>
              <w:pStyle w:val="ListParagraph"/>
              <w:numPr>
                <w:ilvl w:val="0"/>
                <w:numId w:val="15"/>
              </w:numPr>
              <w:spacing w:after="100" w:afterAutospacing="1"/>
              <w:ind w:hanging="357"/>
              <w:rPr>
                <w:rFonts w:ascii="Arial" w:eastAsia="Times New Roman" w:hAnsi="Arial" w:cs="Arial"/>
                <w:lang w:eastAsia="en-GB"/>
              </w:rPr>
            </w:pPr>
            <w:r w:rsidRPr="00682BB8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Not explained by another cause</w:t>
            </w:r>
          </w:p>
          <w:p w14:paraId="06641A72" w14:textId="5C06F4F0" w:rsidR="00A61D71" w:rsidRPr="00CE112A" w:rsidRDefault="00A61D71" w:rsidP="6231E9BA">
            <w:pPr>
              <w:rPr>
                <w:rFonts w:ascii="Arial" w:eastAsia="Arial" w:hAnsi="Arial" w:cs="Arial"/>
              </w:rPr>
            </w:pPr>
            <w:r w:rsidRPr="6231E9BA">
              <w:rPr>
                <w:rFonts w:ascii="Arial" w:eastAsia="Times New Roman" w:hAnsi="Arial" w:cs="Arial"/>
                <w:lang w:eastAsia="en-GB"/>
              </w:rPr>
              <w:t xml:space="preserve">Use </w:t>
            </w:r>
            <w:hyperlink r:id="rId9" w:history="1">
              <w:r w:rsidR="4A70D627" w:rsidRPr="00B85EC2">
                <w:rPr>
                  <w:rStyle w:val="Hyperlink"/>
                  <w:rFonts w:ascii="Arial" w:eastAsia="Times New Roman" w:hAnsi="Arial" w:cs="Arial"/>
                  <w:b w:val="0"/>
                  <w:bCs w:val="0"/>
                  <w:color w:val="003087"/>
                  <w:lang w:eastAsia="en-GB"/>
                </w:rPr>
                <w:t>active or pas</w:t>
              </w:r>
              <w:r w:rsidR="4A70D627" w:rsidRPr="00B85EC2">
                <w:rPr>
                  <w:rStyle w:val="Hyperlink"/>
                  <w:rFonts w:ascii="Arial" w:eastAsia="Times New Roman" w:hAnsi="Arial" w:cs="Arial"/>
                  <w:b w:val="0"/>
                  <w:bCs w:val="0"/>
                  <w:color w:val="003087"/>
                  <w:lang w:eastAsia="en-GB"/>
                </w:rPr>
                <w:t>s</w:t>
              </w:r>
              <w:r w:rsidR="4A70D627" w:rsidRPr="00B85EC2">
                <w:rPr>
                  <w:rStyle w:val="Hyperlink"/>
                  <w:rFonts w:ascii="Arial" w:eastAsia="Times New Roman" w:hAnsi="Arial" w:cs="Arial"/>
                  <w:b w:val="0"/>
                  <w:bCs w:val="0"/>
                  <w:color w:val="003087"/>
                  <w:lang w:eastAsia="en-GB"/>
                </w:rPr>
                <w:t>ive stand test</w:t>
              </w:r>
            </w:hyperlink>
            <w:r w:rsidR="4A70D627" w:rsidRPr="6231E9BA">
              <w:rPr>
                <w:rFonts w:ascii="Arial" w:eastAsia="Times New Roman" w:hAnsi="Arial" w:cs="Arial"/>
                <w:lang w:eastAsia="en-GB"/>
              </w:rPr>
              <w:t xml:space="preserve"> to confirm</w:t>
            </w:r>
            <w:r w:rsidR="00A02596" w:rsidRPr="6231E9BA"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  <w:p w14:paraId="495732F2" w14:textId="18D6D9D9" w:rsidR="00A61D71" w:rsidRPr="00BE66B9" w:rsidRDefault="00A61D71" w:rsidP="6231E9BA">
            <w:pPr>
              <w:pStyle w:val="ListParagraph"/>
              <w:numPr>
                <w:ilvl w:val="0"/>
                <w:numId w:val="13"/>
              </w:numPr>
              <w:spacing w:after="100" w:afterAutospacing="1"/>
              <w:ind w:hanging="357"/>
              <w:rPr>
                <w:rFonts w:ascii="Arial" w:eastAsia="Times New Roman" w:hAnsi="Arial" w:cs="Arial"/>
                <w:lang w:eastAsia="en-GB"/>
              </w:rPr>
            </w:pPr>
            <w:r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Tilt-table testing </w:t>
            </w:r>
            <w:r w:rsidR="1D4806AC"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is not required </w:t>
            </w:r>
            <w:r w:rsidR="2BEF1F4C"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to make a diagnosis</w:t>
            </w:r>
            <w:r w:rsidR="6D33F2C4"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 but could be useful when there is diagnostic uncertainty</w:t>
            </w:r>
          </w:p>
          <w:p w14:paraId="314A5C36" w14:textId="77777777" w:rsidR="00A61D71" w:rsidRPr="00BE66B9" w:rsidRDefault="00A61D71" w:rsidP="00A61D71">
            <w:pPr>
              <w:pStyle w:val="ListParagraph"/>
              <w:numPr>
                <w:ilvl w:val="0"/>
                <w:numId w:val="13"/>
              </w:numPr>
              <w:spacing w:after="100" w:afterAutospacing="1"/>
              <w:ind w:hanging="357"/>
              <w:rPr>
                <w:rFonts w:ascii="Arial" w:eastAsia="Times New Roman" w:hAnsi="Arial" w:cs="Arial"/>
                <w:lang w:eastAsia="en-GB"/>
              </w:rPr>
            </w:pPr>
            <w:r w:rsidRPr="00BE66B9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Cardiac exam, ECG, and routine bloods are typically normal</w:t>
            </w:r>
          </w:p>
          <w:p w14:paraId="0CC0457C" w14:textId="77777777" w:rsidR="00A61D71" w:rsidRPr="00CE112A" w:rsidRDefault="00A61D71" w:rsidP="00CD4B3F">
            <w:pPr>
              <w:spacing w:before="100" w:beforeAutospacing="1"/>
              <w:outlineLvl w:val="2"/>
              <w:rPr>
                <w:rFonts w:ascii="Arial" w:eastAsia="Times New Roman" w:hAnsi="Arial" w:cs="Arial"/>
                <w:lang w:eastAsia="en-GB"/>
              </w:rPr>
            </w:pPr>
            <w:r w:rsidRPr="005A7B50">
              <w:rPr>
                <w:rFonts w:ascii="Arial" w:eastAsia="Times New Roman" w:hAnsi="Arial" w:cs="Arial"/>
                <w:lang w:eastAsia="en-GB"/>
              </w:rPr>
              <w:t>Exclude alternative causes. Consider and investigate for:</w:t>
            </w:r>
          </w:p>
          <w:p w14:paraId="47364C8F" w14:textId="77777777" w:rsidR="00A61D71" w:rsidRPr="00DF4696" w:rsidRDefault="00A61D71" w:rsidP="00A61D71">
            <w:pPr>
              <w:pStyle w:val="ListParagraph"/>
              <w:numPr>
                <w:ilvl w:val="0"/>
                <w:numId w:val="5"/>
              </w:numPr>
              <w:spacing w:after="100" w:afterAutospacing="1"/>
              <w:ind w:left="723"/>
              <w:rPr>
                <w:rFonts w:ascii="Arial" w:eastAsia="Times New Roman" w:hAnsi="Arial" w:cs="Arial"/>
                <w:lang w:eastAsia="en-GB"/>
              </w:rPr>
            </w:pPr>
            <w:r w:rsidRPr="00DF4696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Structural heart disease</w:t>
            </w:r>
          </w:p>
          <w:p w14:paraId="0923F1BB" w14:textId="77777777" w:rsidR="00A61D71" w:rsidRPr="00825A60" w:rsidRDefault="00A61D71" w:rsidP="00A61D71">
            <w:pPr>
              <w:pStyle w:val="ListParagraph"/>
              <w:numPr>
                <w:ilvl w:val="0"/>
                <w:numId w:val="5"/>
              </w:numPr>
              <w:spacing w:after="100" w:afterAutospacing="1"/>
              <w:ind w:left="723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Arrhythmia</w:t>
            </w:r>
          </w:p>
          <w:p w14:paraId="42FD3600" w14:textId="77777777" w:rsidR="00A61D71" w:rsidRPr="00825A60" w:rsidRDefault="00A61D71" w:rsidP="00A61D71">
            <w:pPr>
              <w:pStyle w:val="ListParagraph"/>
              <w:numPr>
                <w:ilvl w:val="0"/>
                <w:numId w:val="5"/>
              </w:numPr>
              <w:spacing w:after="100" w:afterAutospacing="1"/>
              <w:ind w:left="723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Orthostatic hypotension</w:t>
            </w:r>
          </w:p>
          <w:p w14:paraId="070D7824" w14:textId="77777777" w:rsidR="00A61D71" w:rsidRPr="00825A60" w:rsidRDefault="00A61D71" w:rsidP="00A61D71">
            <w:pPr>
              <w:pStyle w:val="ListParagraph"/>
              <w:numPr>
                <w:ilvl w:val="0"/>
                <w:numId w:val="5"/>
              </w:numPr>
              <w:spacing w:after="100" w:afterAutospacing="1"/>
              <w:ind w:left="723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Anaemia or iron deficiency</w:t>
            </w:r>
          </w:p>
          <w:p w14:paraId="2AC6C443" w14:textId="77777777" w:rsidR="00A61D71" w:rsidRPr="00825A60" w:rsidRDefault="00A61D71" w:rsidP="00A61D71">
            <w:pPr>
              <w:pStyle w:val="ListParagraph"/>
              <w:numPr>
                <w:ilvl w:val="0"/>
                <w:numId w:val="5"/>
              </w:numPr>
              <w:spacing w:after="100" w:afterAutospacing="1"/>
              <w:ind w:left="723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Thyroid dysfunction</w:t>
            </w:r>
          </w:p>
          <w:p w14:paraId="2664073F" w14:textId="77777777" w:rsidR="00A61D71" w:rsidRPr="00825A60" w:rsidRDefault="00A61D71" w:rsidP="00A61D71">
            <w:pPr>
              <w:pStyle w:val="ListParagraph"/>
              <w:numPr>
                <w:ilvl w:val="0"/>
                <w:numId w:val="5"/>
              </w:numPr>
              <w:spacing w:after="100" w:afterAutospacing="1"/>
              <w:ind w:left="723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Hypoadrenalism</w:t>
            </w:r>
          </w:p>
          <w:p w14:paraId="6676CB9C" w14:textId="77777777" w:rsidR="00A61D71" w:rsidRPr="00825A60" w:rsidRDefault="00A61D71" w:rsidP="00A61D71">
            <w:pPr>
              <w:pStyle w:val="ListParagraph"/>
              <w:numPr>
                <w:ilvl w:val="0"/>
                <w:numId w:val="5"/>
              </w:numPr>
              <w:spacing w:after="100" w:afterAutospacing="1"/>
              <w:ind w:left="723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Medication effects (e.g. tricyclic antidepressants)</w:t>
            </w:r>
          </w:p>
          <w:p w14:paraId="766E03B3" w14:textId="25D4BE7A" w:rsidR="00A61D71" w:rsidRPr="00CE112A" w:rsidRDefault="00A61D71" w:rsidP="6231E9BA">
            <w:pPr>
              <w:spacing w:before="100" w:beforeAutospacing="1"/>
              <w:outlineLvl w:val="2"/>
              <w:rPr>
                <w:rFonts w:ascii="Arial" w:eastAsia="Times New Roman" w:hAnsi="Arial" w:cs="Arial"/>
                <w:lang w:eastAsia="en-GB"/>
              </w:rPr>
            </w:pPr>
            <w:r w:rsidRPr="6231E9BA">
              <w:rPr>
                <w:rFonts w:ascii="Arial" w:eastAsia="Times New Roman" w:hAnsi="Arial" w:cs="Arial"/>
                <w:lang w:eastAsia="en-GB"/>
              </w:rPr>
              <w:t xml:space="preserve">Red flags that would not support a diagnosis of </w:t>
            </w:r>
            <w:proofErr w:type="spellStart"/>
            <w:r w:rsidRPr="6231E9BA">
              <w:rPr>
                <w:rFonts w:ascii="Arial" w:eastAsia="Times New Roman" w:hAnsi="Arial" w:cs="Arial"/>
                <w:lang w:eastAsia="en-GB"/>
              </w:rPr>
              <w:t>P</w:t>
            </w:r>
            <w:r w:rsidR="7006BD0E" w:rsidRPr="6231E9BA">
              <w:rPr>
                <w:rFonts w:ascii="Arial" w:eastAsia="Times New Roman" w:hAnsi="Arial" w:cs="Arial"/>
                <w:lang w:eastAsia="en-GB"/>
              </w:rPr>
              <w:t>o</w:t>
            </w:r>
            <w:r w:rsidRPr="6231E9BA">
              <w:rPr>
                <w:rFonts w:ascii="Arial" w:eastAsia="Times New Roman" w:hAnsi="Arial" w:cs="Arial"/>
                <w:lang w:eastAsia="en-GB"/>
              </w:rPr>
              <w:t>TS</w:t>
            </w:r>
            <w:proofErr w:type="spellEnd"/>
            <w:r w:rsidRPr="6231E9BA">
              <w:rPr>
                <w:rFonts w:ascii="Arial" w:eastAsia="Times New Roman" w:hAnsi="Arial" w:cs="Arial"/>
                <w:lang w:eastAsia="en-GB"/>
              </w:rPr>
              <w:t xml:space="preserve"> (urgent cardiology referral):</w:t>
            </w:r>
          </w:p>
          <w:p w14:paraId="7590D6AC" w14:textId="77777777" w:rsidR="00A61D71" w:rsidRPr="00825A60" w:rsidRDefault="00A61D71" w:rsidP="00A61D71">
            <w:pPr>
              <w:numPr>
                <w:ilvl w:val="0"/>
                <w:numId w:val="3"/>
              </w:numPr>
              <w:spacing w:after="100" w:afterAutospacing="1"/>
              <w:ind w:left="714" w:hanging="357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Syncope with chest pain, breathlessness, severe headache, or abdominal pain</w:t>
            </w:r>
          </w:p>
          <w:p w14:paraId="50886D02" w14:textId="77777777" w:rsidR="00A61D71" w:rsidRPr="00825A60" w:rsidRDefault="00A61D71" w:rsidP="00A61D71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Unheralded syncope ≥65 years</w:t>
            </w:r>
          </w:p>
          <w:p w14:paraId="1CCACE8E" w14:textId="77777777" w:rsidR="00A61D71" w:rsidRPr="00825A60" w:rsidRDefault="00A61D71" w:rsidP="00A61D71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Syncope during exercise</w:t>
            </w:r>
          </w:p>
          <w:p w14:paraId="2B62D57C" w14:textId="77777777" w:rsidR="00A61D71" w:rsidRPr="00825A60" w:rsidRDefault="00A61D71" w:rsidP="00A61D71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Family history of sudden cardiac death &lt;40 years or inherited cardiac disease</w:t>
            </w:r>
          </w:p>
          <w:p w14:paraId="09A4BCDC" w14:textId="77777777" w:rsidR="00A61D71" w:rsidRPr="00825A60" w:rsidRDefault="00A61D71" w:rsidP="00A61D71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Known or suspected heart failure or structural heart disease</w:t>
            </w:r>
          </w:p>
          <w:p w14:paraId="0FEDE9FD" w14:textId="77777777" w:rsidR="00A61D71" w:rsidRPr="00825A60" w:rsidRDefault="00A61D71" w:rsidP="00A61D71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Newly detected unexplained murmur</w:t>
            </w:r>
          </w:p>
          <w:p w14:paraId="35364CE0" w14:textId="77777777" w:rsidR="00A61D71" w:rsidRPr="00825A60" w:rsidRDefault="00A61D71" w:rsidP="00A61D71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Persistent bradycardia</w:t>
            </w:r>
          </w:p>
          <w:p w14:paraId="7F300F87" w14:textId="77777777" w:rsidR="00A61D71" w:rsidRPr="00825A60" w:rsidRDefault="00A61D71" w:rsidP="00A61D71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Abnormal ECG</w:t>
            </w:r>
          </w:p>
          <w:p w14:paraId="71D0AC4B" w14:textId="77777777" w:rsidR="00A61D71" w:rsidRPr="00825A60" w:rsidRDefault="00A61D71" w:rsidP="00A61D71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Existing cardiac device (pacemaker/ICD)</w:t>
            </w:r>
          </w:p>
          <w:p w14:paraId="6D6EBBFE" w14:textId="77777777" w:rsidR="00A61D71" w:rsidRPr="00CE112A" w:rsidRDefault="00A61D71" w:rsidP="00CD4B3F">
            <w:pPr>
              <w:spacing w:before="100" w:beforeAutospacing="1"/>
              <w:outlineLvl w:val="2"/>
              <w:rPr>
                <w:rFonts w:ascii="Arial" w:eastAsia="Times New Roman" w:hAnsi="Arial" w:cs="Arial"/>
                <w:lang w:eastAsia="en-GB"/>
              </w:rPr>
            </w:pPr>
            <w:r w:rsidRPr="005A7B50">
              <w:rPr>
                <w:rFonts w:ascii="Arial" w:eastAsia="Times New Roman" w:hAnsi="Arial" w:cs="Arial"/>
                <w:lang w:eastAsia="en-GB"/>
              </w:rPr>
              <w:t>Management in primary care:</w:t>
            </w:r>
          </w:p>
          <w:p w14:paraId="4C2EFE20" w14:textId="77777777" w:rsidR="00A61D71" w:rsidRPr="00825A60" w:rsidRDefault="00A61D71" w:rsidP="00A61D71">
            <w:pPr>
              <w:numPr>
                <w:ilvl w:val="0"/>
                <w:numId w:val="9"/>
              </w:numPr>
              <w:spacing w:before="100" w:beforeAutospacing="1"/>
              <w:contextualSpacing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Provide a clear explanation and reassurance; acknowledge symptoms can be wide-ranging.</w:t>
            </w:r>
          </w:p>
          <w:p w14:paraId="41D7FF65" w14:textId="77777777" w:rsidR="00A61D71" w:rsidRPr="00BE66B9" w:rsidRDefault="00A61D71" w:rsidP="00A61D71">
            <w:pPr>
              <w:numPr>
                <w:ilvl w:val="0"/>
                <w:numId w:val="9"/>
              </w:numPr>
              <w:spacing w:before="100" w:beforeAutospacing="1"/>
              <w:ind w:hanging="357"/>
              <w:contextualSpacing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Emphasise lifestyle measures:</w:t>
            </w:r>
          </w:p>
          <w:p w14:paraId="166DA381" w14:textId="77777777" w:rsidR="00A61D71" w:rsidRPr="00BE66B9" w:rsidRDefault="00A61D71" w:rsidP="00A61D71">
            <w:pPr>
              <w:pStyle w:val="ListParagraph"/>
              <w:numPr>
                <w:ilvl w:val="0"/>
                <w:numId w:val="4"/>
              </w:numPr>
              <w:ind w:left="1077" w:hanging="357"/>
              <w:rPr>
                <w:rFonts w:ascii="Arial" w:eastAsia="Times New Roman" w:hAnsi="Arial" w:cs="Arial"/>
                <w:lang w:eastAsia="en-GB"/>
              </w:rPr>
            </w:pPr>
            <w:r w:rsidRPr="00BE66B9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Adequate fluid and salt intake</w:t>
            </w:r>
          </w:p>
          <w:p w14:paraId="07264F3A" w14:textId="793DBBAB" w:rsidR="00A61D71" w:rsidRPr="00B35BE6" w:rsidRDefault="003C2F2C" w:rsidP="6231E9BA">
            <w:pPr>
              <w:pStyle w:val="ListParagraph"/>
              <w:numPr>
                <w:ilvl w:val="0"/>
                <w:numId w:val="10"/>
              </w:numPr>
              <w:spacing w:before="100" w:beforeAutospacing="1"/>
            </w:pPr>
            <w:hyperlink r:id="rId10" w:history="1">
              <w:r w:rsidR="0076951E" w:rsidRPr="00DA02DB">
                <w:rPr>
                  <w:rStyle w:val="Hyperlink"/>
                  <w:rFonts w:ascii="Arial" w:eastAsia="Times New Roman" w:hAnsi="Arial" w:cs="Arial"/>
                  <w:b w:val="0"/>
                  <w:bCs w:val="0"/>
                  <w:color w:val="003087"/>
                  <w:lang w:eastAsia="en-GB"/>
                </w:rPr>
                <w:t>Exercise often</w:t>
              </w:r>
            </w:hyperlink>
            <w:r w:rsidR="0076951E"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 starting in a horizontal position and taking into account exercise guidance for any comorbid conditions</w:t>
            </w:r>
          </w:p>
          <w:p w14:paraId="63BA22DC" w14:textId="13F45701" w:rsidR="00A61D71" w:rsidRPr="00B35BE6" w:rsidRDefault="00A61D71" w:rsidP="6231E9BA">
            <w:pPr>
              <w:pStyle w:val="ListParagraph"/>
              <w:numPr>
                <w:ilvl w:val="0"/>
                <w:numId w:val="10"/>
              </w:numPr>
              <w:spacing w:before="100" w:beforeAutospacing="1"/>
            </w:pPr>
            <w:r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Teach </w:t>
            </w:r>
            <w:hyperlink r:id="rId11" w:history="1">
              <w:r w:rsidR="3D194FE5" w:rsidRPr="00DA02DB">
                <w:rPr>
                  <w:rStyle w:val="Hyperlink"/>
                  <w:rFonts w:ascii="Arial" w:eastAsia="Times New Roman" w:hAnsi="Arial" w:cs="Arial"/>
                  <w:b w:val="0"/>
                  <w:bCs w:val="0"/>
                  <w:color w:val="003087"/>
                  <w:lang w:eastAsia="en-GB"/>
                </w:rPr>
                <w:t xml:space="preserve">isometric </w:t>
              </w:r>
              <w:r w:rsidRPr="00DA02DB">
                <w:rPr>
                  <w:rStyle w:val="Hyperlink"/>
                  <w:rFonts w:ascii="Arial" w:eastAsia="Times New Roman" w:hAnsi="Arial" w:cs="Arial"/>
                  <w:b w:val="0"/>
                  <w:bCs w:val="0"/>
                  <w:color w:val="003087"/>
                  <w:lang w:eastAsia="en-GB"/>
                </w:rPr>
                <w:t>counterpressure manoeuvres</w:t>
              </w:r>
            </w:hyperlink>
          </w:p>
          <w:p w14:paraId="76D83400" w14:textId="1FC28557" w:rsidR="00A61D71" w:rsidRPr="00F76526" w:rsidRDefault="00A61D71" w:rsidP="6231E9BA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ind w:left="1077" w:hanging="357"/>
              <w:rPr>
                <w:rFonts w:ascii="Arial" w:eastAsia="Times New Roman" w:hAnsi="Arial" w:cs="Arial"/>
                <w:lang w:eastAsia="en-GB"/>
              </w:rPr>
            </w:pPr>
            <w:r w:rsidRPr="00F76526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Recommend waist–thigh compression garments </w:t>
            </w:r>
            <w:r w:rsidR="393CE72E" w:rsidRPr="00F76526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and abdominal binders </w:t>
            </w:r>
            <w:r w:rsidRPr="00F76526">
              <w:rPr>
                <w:rFonts w:ascii="Arial" w:hAnsi="Arial" w:cs="Arial"/>
                <w:b w:val="0"/>
                <w:bCs w:val="0"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</w:rPr>
              <w:t xml:space="preserve">(e.g. as shown in </w:t>
            </w:r>
            <w:hyperlink r:id="rId12">
              <w:r w:rsidRPr="6231E9BA">
                <w:rPr>
                  <w:rStyle w:val="Hyperlink"/>
                  <w:rFonts w:ascii="Arial" w:hAnsi="Arial" w:cs="Arial"/>
                  <w:b w:val="0"/>
                  <w:bCs w:val="0"/>
                  <w:color w:val="003087"/>
                </w:rPr>
                <w:t xml:space="preserve">Compression - </w:t>
              </w:r>
              <w:proofErr w:type="spellStart"/>
              <w:r w:rsidRPr="6231E9BA">
                <w:rPr>
                  <w:rStyle w:val="Hyperlink"/>
                  <w:rFonts w:ascii="Arial" w:hAnsi="Arial" w:cs="Arial"/>
                  <w:b w:val="0"/>
                  <w:bCs w:val="0"/>
                  <w:color w:val="003087"/>
                </w:rPr>
                <w:t>PoTS</w:t>
              </w:r>
              <w:proofErr w:type="spellEnd"/>
              <w:r w:rsidRPr="6231E9BA">
                <w:rPr>
                  <w:rStyle w:val="Hyperlink"/>
                  <w:rFonts w:ascii="Arial" w:hAnsi="Arial" w:cs="Arial"/>
                  <w:b w:val="0"/>
                  <w:bCs w:val="0"/>
                  <w:color w:val="003087"/>
                </w:rPr>
                <w:t xml:space="preserve"> UK</w:t>
              </w:r>
            </w:hyperlink>
            <w:r w:rsidRPr="00F76526">
              <w:rPr>
                <w:rFonts w:ascii="Arial" w:hAnsi="Arial" w:cs="Arial"/>
                <w:b w:val="0"/>
                <w:bCs w:val="0"/>
              </w:rPr>
              <w:t>).</w:t>
            </w:r>
          </w:p>
          <w:p w14:paraId="5F4FDB49" w14:textId="77777777" w:rsidR="00A61D71" w:rsidRPr="00B35BE6" w:rsidRDefault="00A61D71" w:rsidP="00A61D71">
            <w:pPr>
              <w:pStyle w:val="ListParagraph"/>
              <w:numPr>
                <w:ilvl w:val="0"/>
                <w:numId w:val="14"/>
              </w:num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B35BE6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Direct patients to self-management resources:</w:t>
            </w:r>
          </w:p>
          <w:p w14:paraId="159C5FF5" w14:textId="76BEC300" w:rsidR="00A61D71" w:rsidRPr="003341BB" w:rsidRDefault="001668E0" w:rsidP="6231E9BA">
            <w:pPr>
              <w:pStyle w:val="ListParagraph"/>
              <w:numPr>
                <w:ilvl w:val="0"/>
                <w:numId w:val="2"/>
              </w:numPr>
              <w:spacing w:after="100" w:afterAutospacing="1"/>
              <w:ind w:left="1077" w:hanging="357"/>
              <w:rPr>
                <w:rFonts w:ascii="Arial" w:eastAsia="Times New Roman" w:hAnsi="Arial" w:cs="Arial"/>
                <w:color w:val="003087"/>
                <w:lang w:eastAsia="en-GB"/>
              </w:rPr>
            </w:pPr>
            <w:hyperlink r:id="rId13" w:history="1">
              <w:proofErr w:type="spellStart"/>
              <w:r w:rsidRPr="003341BB">
                <w:rPr>
                  <w:rStyle w:val="Hyperlink"/>
                  <w:rFonts w:ascii="Arial" w:eastAsia="Times New Roman" w:hAnsi="Arial" w:cs="Arial"/>
                  <w:b w:val="0"/>
                  <w:bCs w:val="0"/>
                  <w:color w:val="003087"/>
                  <w:lang w:eastAsia="en-GB"/>
                </w:rPr>
                <w:t>PoT</w:t>
              </w:r>
              <w:r w:rsidRPr="003341BB">
                <w:rPr>
                  <w:rStyle w:val="Hyperlink"/>
                  <w:rFonts w:ascii="Arial" w:eastAsia="Times New Roman" w:hAnsi="Arial" w:cs="Arial"/>
                  <w:b w:val="0"/>
                  <w:bCs w:val="0"/>
                  <w:color w:val="003087"/>
                  <w:lang w:eastAsia="en-GB"/>
                </w:rPr>
                <w:t>S</w:t>
              </w:r>
              <w:proofErr w:type="spellEnd"/>
              <w:r w:rsidRPr="003341BB">
                <w:rPr>
                  <w:rStyle w:val="Hyperlink"/>
                  <w:rFonts w:ascii="Arial" w:eastAsia="Times New Roman" w:hAnsi="Arial" w:cs="Arial"/>
                  <w:b w:val="0"/>
                  <w:bCs w:val="0"/>
                  <w:color w:val="003087"/>
                  <w:lang w:eastAsia="en-GB"/>
                </w:rPr>
                <w:t xml:space="preserve"> UK</w:t>
              </w:r>
            </w:hyperlink>
            <w:r w:rsidR="00A61D71" w:rsidRPr="003341BB">
              <w:rPr>
                <w:rFonts w:ascii="Arial" w:eastAsia="Times New Roman" w:hAnsi="Arial" w:cs="Arial"/>
                <w:b w:val="0"/>
                <w:bCs w:val="0"/>
                <w:color w:val="003087"/>
                <w:lang w:eastAsia="en-GB"/>
              </w:rPr>
              <w:t xml:space="preserve">, </w:t>
            </w:r>
            <w:hyperlink r:id="rId14" w:history="1">
              <w:proofErr w:type="spellStart"/>
              <w:r w:rsidR="009F0332" w:rsidRPr="003341BB">
                <w:rPr>
                  <w:rStyle w:val="Hyperlink"/>
                  <w:rFonts w:ascii="Arial" w:eastAsia="Times New Roman" w:hAnsi="Arial" w:cs="Arial"/>
                  <w:b w:val="0"/>
                  <w:bCs w:val="0"/>
                  <w:color w:val="003087"/>
                  <w:lang w:eastAsia="en-GB"/>
                </w:rPr>
                <w:t>Stop</w:t>
              </w:r>
              <w:r w:rsidR="009F0332" w:rsidRPr="003341BB">
                <w:rPr>
                  <w:rStyle w:val="Hyperlink"/>
                  <w:rFonts w:ascii="Arial" w:eastAsia="Times New Roman" w:hAnsi="Arial" w:cs="Arial"/>
                  <w:b w:val="0"/>
                  <w:bCs w:val="0"/>
                  <w:color w:val="003087"/>
                  <w:lang w:eastAsia="en-GB"/>
                </w:rPr>
                <w:t>F</w:t>
              </w:r>
              <w:r w:rsidR="009F0332" w:rsidRPr="003341BB">
                <w:rPr>
                  <w:rStyle w:val="Hyperlink"/>
                  <w:rFonts w:ascii="Arial" w:eastAsia="Times New Roman" w:hAnsi="Arial" w:cs="Arial"/>
                  <w:b w:val="0"/>
                  <w:bCs w:val="0"/>
                  <w:color w:val="003087"/>
                  <w:lang w:eastAsia="en-GB"/>
                </w:rPr>
                <w:t>ainting</w:t>
              </w:r>
              <w:proofErr w:type="spellEnd"/>
            </w:hyperlink>
            <w:r w:rsidR="00A61D71" w:rsidRPr="003341BB">
              <w:rPr>
                <w:rFonts w:ascii="Arial" w:eastAsia="Times New Roman" w:hAnsi="Arial" w:cs="Arial"/>
                <w:b w:val="0"/>
                <w:bCs w:val="0"/>
                <w:color w:val="003087"/>
                <w:lang w:eastAsia="en-GB"/>
              </w:rPr>
              <w:t xml:space="preserve">, </w:t>
            </w:r>
            <w:hyperlink r:id="rId15" w:history="1">
              <w:r w:rsidR="00EF5845" w:rsidRPr="003341BB">
                <w:rPr>
                  <w:rStyle w:val="Hyperlink"/>
                  <w:rFonts w:ascii="Arial" w:eastAsia="Times New Roman" w:hAnsi="Arial" w:cs="Arial"/>
                  <w:b w:val="0"/>
                  <w:bCs w:val="0"/>
                  <w:color w:val="003087"/>
                  <w:lang w:eastAsia="en-GB"/>
                </w:rPr>
                <w:t>Dysautonomia International</w:t>
              </w:r>
            </w:hyperlink>
          </w:p>
          <w:p w14:paraId="2B19E4B7" w14:textId="77777777" w:rsidR="00A61D71" w:rsidRPr="00CE112A" w:rsidRDefault="00A61D71" w:rsidP="00CD4B3F">
            <w:pPr>
              <w:spacing w:before="100" w:beforeAutospacing="1"/>
              <w:outlineLvl w:val="2"/>
              <w:rPr>
                <w:rFonts w:ascii="Arial" w:eastAsia="Times New Roman" w:hAnsi="Arial" w:cs="Arial"/>
                <w:lang w:eastAsia="en-GB"/>
              </w:rPr>
            </w:pPr>
            <w:r w:rsidRPr="005A7B50">
              <w:rPr>
                <w:rFonts w:ascii="Arial" w:eastAsia="Times New Roman" w:hAnsi="Arial" w:cs="Arial"/>
                <w:lang w:eastAsia="en-GB"/>
              </w:rPr>
              <w:t>When heart rate rise &lt;30 bpm but symptoms are typical:</w:t>
            </w:r>
          </w:p>
          <w:p w14:paraId="1B68087D" w14:textId="00BDC378" w:rsidR="00A61D71" w:rsidRPr="00825A60" w:rsidRDefault="00A61D71" w:rsidP="00A61D71">
            <w:pPr>
              <w:numPr>
                <w:ilvl w:val="0"/>
                <w:numId w:val="1"/>
              </w:numPr>
              <w:spacing w:after="100" w:afterAutospacing="1"/>
              <w:ind w:left="714" w:hanging="357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A rise of</w:t>
            </w:r>
            <w:r w:rsidR="00F76526" w:rsidRPr="00F76526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 &lt;30 bpm does not exclude a dysautonomia condition</w:t>
            </w:r>
          </w:p>
          <w:p w14:paraId="011A6C3F" w14:textId="77777777" w:rsidR="00A61D71" w:rsidRPr="00825A60" w:rsidRDefault="00A61D71" w:rsidP="00A61D7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Manage similarly using lifestyle and supportive measures</w:t>
            </w:r>
          </w:p>
          <w:p w14:paraId="6DB74F47" w14:textId="77777777" w:rsidR="00A61D71" w:rsidRPr="00CE112A" w:rsidRDefault="00A61D71" w:rsidP="00CD4B3F">
            <w:pPr>
              <w:spacing w:before="100" w:beforeAutospacing="1"/>
              <w:outlineLvl w:val="2"/>
              <w:rPr>
                <w:rFonts w:ascii="Arial" w:eastAsia="Times New Roman" w:hAnsi="Arial" w:cs="Arial"/>
                <w:lang w:eastAsia="en-GB"/>
              </w:rPr>
            </w:pPr>
            <w:r w:rsidRPr="005A7B50">
              <w:rPr>
                <w:rFonts w:ascii="Arial" w:eastAsia="Times New Roman" w:hAnsi="Arial" w:cs="Arial"/>
                <w:lang w:eastAsia="en-GB"/>
              </w:rPr>
              <w:t>If symptoms are not improving despite conservative measures:</w:t>
            </w:r>
          </w:p>
          <w:p w14:paraId="2C693EF2" w14:textId="77777777" w:rsidR="00A61D71" w:rsidRPr="00825A60" w:rsidRDefault="00A61D71" w:rsidP="00A61D71">
            <w:pPr>
              <w:numPr>
                <w:ilvl w:val="0"/>
                <w:numId w:val="11"/>
              </w:numPr>
              <w:spacing w:after="100" w:afterAutospacing="1"/>
              <w:ind w:left="714" w:hanging="357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Symptoms often fluctuate; reassure patients this is expected.</w:t>
            </w:r>
          </w:p>
          <w:p w14:paraId="5CA09B5C" w14:textId="77777777" w:rsidR="00A61D71" w:rsidRPr="00BE66B9" w:rsidRDefault="00A61D71" w:rsidP="00A61D71">
            <w:pPr>
              <w:numPr>
                <w:ilvl w:val="0"/>
                <w:numId w:val="11"/>
              </w:numPr>
              <w:spacing w:before="100" w:beforeAutospacing="1"/>
              <w:ind w:left="714" w:hanging="357"/>
              <w:contextualSpacing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Check for triggers of relapse:</w:t>
            </w:r>
          </w:p>
          <w:p w14:paraId="37EF1FA9" w14:textId="61ACB9D8" w:rsidR="00A61D71" w:rsidRPr="005C4CBD" w:rsidRDefault="00A61D71" w:rsidP="005C4CBD">
            <w:pPr>
              <w:pStyle w:val="ListParagraph"/>
              <w:numPr>
                <w:ilvl w:val="0"/>
                <w:numId w:val="2"/>
              </w:numPr>
              <w:ind w:left="1077" w:hanging="357"/>
              <w:rPr>
                <w:rFonts w:ascii="Arial" w:eastAsia="Times New Roman" w:hAnsi="Arial" w:cs="Arial"/>
                <w:lang w:eastAsia="en-GB"/>
              </w:rPr>
            </w:pPr>
            <w:r w:rsidRPr="00BE66B9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Intercurrent illness</w:t>
            </w:r>
            <w:r w:rsidR="005C4CB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, </w:t>
            </w:r>
            <w:r w:rsidR="005C4CBD" w:rsidRPr="005C4CB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</w:t>
            </w:r>
            <w:r w:rsidRPr="005C4CB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enstruation</w:t>
            </w:r>
            <w:r w:rsidR="005C4CB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, or </w:t>
            </w:r>
            <w:r w:rsidR="005C4CBD" w:rsidRPr="005C4CB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o</w:t>
            </w:r>
            <w:r w:rsidRPr="005C4CB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ther systemic stressors</w:t>
            </w:r>
            <w:r w:rsidR="005C4CB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.</w:t>
            </w:r>
          </w:p>
          <w:p w14:paraId="6B9E6CEF" w14:textId="3A628848" w:rsidR="00A61D71" w:rsidRPr="00CE112A" w:rsidRDefault="00A61D71" w:rsidP="005C4CBD">
            <w:pPr>
              <w:numPr>
                <w:ilvl w:val="0"/>
                <w:numId w:val="11"/>
              </w:numPr>
              <w:ind w:left="714" w:hanging="357"/>
              <w:contextualSpacing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Re-emphasise adherence to lifestyle measures</w:t>
            </w:r>
            <w:r w:rsidR="005C4CB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.</w:t>
            </w:r>
          </w:p>
          <w:p w14:paraId="37C60529" w14:textId="77777777" w:rsidR="00A61D71" w:rsidRPr="00CE112A" w:rsidRDefault="00A61D71" w:rsidP="00A61D71">
            <w:pPr>
              <w:numPr>
                <w:ilvl w:val="0"/>
                <w:numId w:val="11"/>
              </w:numPr>
              <w:spacing w:after="100" w:afterAutospacing="1"/>
              <w:ind w:left="714" w:hanging="357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Medications could be considered:</w:t>
            </w:r>
          </w:p>
          <w:p w14:paraId="42C0C4F2" w14:textId="77777777" w:rsidR="00A61D71" w:rsidRPr="00CE112A" w:rsidRDefault="00A61D71" w:rsidP="00A61D71">
            <w:pPr>
              <w:numPr>
                <w:ilvl w:val="1"/>
                <w:numId w:val="11"/>
              </w:numPr>
              <w:spacing w:after="100" w:afterAutospacing="1"/>
              <w:ind w:left="1069"/>
              <w:rPr>
                <w:rFonts w:ascii="Arial" w:eastAsia="Times New Roman" w:hAnsi="Arial" w:cs="Arial"/>
                <w:lang w:eastAsia="en-GB"/>
              </w:rPr>
            </w:pPr>
            <w:r w:rsidRPr="008A5037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If alleviation of palpitations or adrenergic tachycardia is required, propranolol or ivabradine can be considered.</w:t>
            </w:r>
          </w:p>
          <w:p w14:paraId="78504397" w14:textId="0AC9894A" w:rsidR="00A61D71" w:rsidRPr="008A5037" w:rsidRDefault="00A61D71" w:rsidP="6231E9BA">
            <w:pPr>
              <w:numPr>
                <w:ilvl w:val="1"/>
                <w:numId w:val="11"/>
              </w:numPr>
              <w:spacing w:after="100" w:afterAutospacing="1"/>
              <w:ind w:left="1069"/>
              <w:rPr>
                <w:rFonts w:ascii="Arial" w:eastAsia="Times New Roman" w:hAnsi="Arial" w:cs="Arial"/>
                <w:lang w:eastAsia="en-GB"/>
              </w:rPr>
            </w:pPr>
            <w:r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If blood pressure augmentation is needed, then midodrine or fludrocortisone is indicated</w:t>
            </w:r>
            <w:r w:rsidR="03226416"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:</w:t>
            </w:r>
            <w:r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 these are off-label indications and </w:t>
            </w:r>
            <w:r w:rsidR="2E98A3AF"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can be initiated (under specialist advice if required) </w:t>
            </w:r>
          </w:p>
          <w:p w14:paraId="50D6963D" w14:textId="367E4B4F" w:rsidR="2E98A3AF" w:rsidRDefault="2E98A3AF" w:rsidP="6231E9BA">
            <w:pPr>
              <w:numPr>
                <w:ilvl w:val="1"/>
                <w:numId w:val="11"/>
              </w:numPr>
              <w:spacing w:afterAutospacing="1"/>
              <w:ind w:left="1069"/>
              <w:rPr>
                <w:rFonts w:ascii="Arial" w:eastAsia="Times New Roman" w:hAnsi="Arial" w:cs="Arial"/>
                <w:lang w:eastAsia="en-GB"/>
              </w:rPr>
            </w:pPr>
            <w:r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Some drugs, e.g. ivabradine may be teratogenic – consider contraception</w:t>
            </w:r>
          </w:p>
          <w:p w14:paraId="3A3DE33A" w14:textId="77777777" w:rsidR="00A61D71" w:rsidRPr="00CE112A" w:rsidRDefault="00A61D71" w:rsidP="00CD4B3F">
            <w:pPr>
              <w:spacing w:before="100" w:beforeAutospacing="1"/>
              <w:outlineLvl w:val="2"/>
              <w:rPr>
                <w:rFonts w:ascii="Arial" w:eastAsia="Times New Roman" w:hAnsi="Arial" w:cs="Arial"/>
                <w:lang w:eastAsia="en-GB"/>
              </w:rPr>
            </w:pPr>
            <w:r w:rsidRPr="005A7B50">
              <w:rPr>
                <w:rFonts w:ascii="Arial" w:eastAsia="Times New Roman" w:hAnsi="Arial" w:cs="Arial"/>
                <w:lang w:eastAsia="en-GB"/>
              </w:rPr>
              <w:t>Management during pregnancy:</w:t>
            </w:r>
          </w:p>
          <w:p w14:paraId="73430D25" w14:textId="77777777" w:rsidR="00A61D71" w:rsidRPr="00825A60" w:rsidRDefault="00A61D71" w:rsidP="00A61D71">
            <w:pPr>
              <w:numPr>
                <w:ilvl w:val="0"/>
                <w:numId w:val="6"/>
              </w:numPr>
              <w:spacing w:after="100" w:afterAutospacing="1"/>
              <w:ind w:left="714" w:hanging="357"/>
              <w:rPr>
                <w:rFonts w:ascii="Arial" w:eastAsia="Times New Roman" w:hAnsi="Arial" w:cs="Arial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Most have uncomplicated pregnancies with continued conservative management.</w:t>
            </w:r>
          </w:p>
          <w:p w14:paraId="6E5C45EA" w14:textId="024AEE0C" w:rsidR="00A61D71" w:rsidRPr="00825A60" w:rsidRDefault="00A61D71" w:rsidP="6231E9B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Pharmacological options are limited; if symptoms persist, consider MDT care with obstetric medicine and a clinician experienced in </w:t>
            </w:r>
            <w:proofErr w:type="spellStart"/>
            <w:r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P</w:t>
            </w:r>
            <w:r w:rsidR="4BCD81CD"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o</w:t>
            </w:r>
            <w:r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TS</w:t>
            </w:r>
            <w:proofErr w:type="spellEnd"/>
            <w:r w:rsidRPr="6231E9BA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.</w:t>
            </w:r>
          </w:p>
        </w:tc>
      </w:tr>
      <w:tr w:rsidR="00A61D71" w:rsidRPr="004F58F9" w14:paraId="4356665B" w14:textId="77777777" w:rsidTr="1850C53F">
        <w:trPr>
          <w:trHeight w:val="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shd w:val="clear" w:color="auto" w:fill="F6C2D2"/>
            <w:vAlign w:val="center"/>
          </w:tcPr>
          <w:p w14:paraId="5DBC4BA4" w14:textId="77777777" w:rsidR="00A61D71" w:rsidRPr="00602CA2" w:rsidRDefault="00A61D71" w:rsidP="00CD4B3F">
            <w:pPr>
              <w:shd w:val="clear" w:color="auto" w:fill="F6C2D2"/>
              <w:spacing w:line="22" w:lineRule="atLeast"/>
              <w:contextualSpacing/>
              <w:rPr>
                <w:rFonts w:ascii="Arial" w:eastAsia="Times New Roman" w:hAnsi="Arial" w:cs="Arial"/>
                <w:lang w:eastAsia="en-GB"/>
              </w:rPr>
            </w:pPr>
            <w:r w:rsidRPr="00602CA2">
              <w:rPr>
                <w:rFonts w:ascii="Arial" w:eastAsia="Times New Roman" w:hAnsi="Arial" w:cs="Arial"/>
                <w:lang w:eastAsia="en-GB"/>
              </w:rPr>
              <w:t>When should I refer to secondary care?:</w:t>
            </w:r>
          </w:p>
          <w:p w14:paraId="1BAEAE25" w14:textId="77777777" w:rsidR="00A61D71" w:rsidRPr="00BE66B9" w:rsidRDefault="00A61D71" w:rsidP="00CD4B3F">
            <w:pPr>
              <w:shd w:val="clear" w:color="auto" w:fill="F6C2D2"/>
              <w:spacing w:line="22" w:lineRule="atLeast"/>
              <w:contextualSpacing/>
              <w:rPr>
                <w:rFonts w:ascii="Arial" w:eastAsia="Times New Roman" w:hAnsi="Arial" w:cs="Arial"/>
                <w:lang w:eastAsia="en-GB"/>
              </w:rPr>
            </w:pPr>
          </w:p>
          <w:p w14:paraId="2A6D6F5F" w14:textId="640A366C" w:rsidR="00A61D71" w:rsidRPr="0083040A" w:rsidRDefault="00A61D71" w:rsidP="00CD4B3F">
            <w:pPr>
              <w:spacing w:line="22" w:lineRule="atLeast"/>
              <w:contextualSpacing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825A60">
              <w:rPr>
                <w:rFonts w:ascii="Arial" w:eastAsia="Times New Roman" w:hAnsi="Arial" w:cs="Arial"/>
                <w:b w:val="0"/>
                <w:bCs w:val="0"/>
                <w:color w:val="000000"/>
                <w:kern w:val="2"/>
                <w14:ligatures w14:val="standardContextual"/>
              </w:rPr>
              <w:t xml:space="preserve">If patients are refractory to </w:t>
            </w:r>
            <w:r w:rsidRPr="6231E9BA">
              <w:rPr>
                <w:rFonts w:ascii="Arial" w:eastAsia="Times New Roman" w:hAnsi="Arial" w:cs="Arial"/>
                <w:color w:val="000000"/>
                <w:kern w:val="2"/>
                <w14:ligatures w14:val="standardContextual"/>
              </w:rPr>
              <w:t xml:space="preserve">at least </w:t>
            </w:r>
            <w:r w:rsidR="582B6E2F" w:rsidRPr="6231E9BA">
              <w:rPr>
                <w:rFonts w:ascii="Arial" w:eastAsia="Times New Roman" w:hAnsi="Arial" w:cs="Arial"/>
                <w:color w:val="000000"/>
                <w:kern w:val="2"/>
                <w14:ligatures w14:val="standardContextual"/>
              </w:rPr>
              <w:t>3</w:t>
            </w:r>
            <w:r w:rsidRPr="6231E9BA">
              <w:rPr>
                <w:rFonts w:ascii="Arial" w:eastAsia="Times New Roman" w:hAnsi="Arial" w:cs="Arial"/>
                <w:color w:val="000000"/>
                <w:kern w:val="2"/>
                <w14:ligatures w14:val="standardContextual"/>
              </w:rPr>
              <w:t xml:space="preserve"> months </w:t>
            </w:r>
            <w:r w:rsidRPr="00825A60">
              <w:rPr>
                <w:rFonts w:ascii="Arial" w:eastAsia="Times New Roman" w:hAnsi="Arial" w:cs="Arial"/>
                <w:b w:val="0"/>
                <w:bCs w:val="0"/>
                <w:color w:val="000000"/>
                <w:kern w:val="2"/>
                <w14:ligatures w14:val="standardContextual"/>
              </w:rPr>
              <w:t>of adhering to conservative measures</w:t>
            </w:r>
            <w:r w:rsidR="33980B41" w:rsidRPr="00825A60">
              <w:rPr>
                <w:rFonts w:ascii="Arial" w:eastAsia="Times New Roman" w:hAnsi="Arial" w:cs="Arial"/>
                <w:b w:val="0"/>
                <w:bCs w:val="0"/>
                <w:color w:val="000000"/>
                <w:kern w:val="2"/>
                <w14:ligatures w14:val="standardContextual"/>
              </w:rPr>
              <w:t xml:space="preserve">, </w:t>
            </w:r>
            <w:r w:rsidRPr="00825A60">
              <w:rPr>
                <w:rFonts w:ascii="Arial" w:eastAsia="Times New Roman" w:hAnsi="Arial" w:cs="Arial"/>
                <w:b w:val="0"/>
                <w:bCs w:val="0"/>
                <w:color w:val="000000"/>
                <w:kern w:val="2"/>
                <w14:ligatures w14:val="standardContextual"/>
              </w:rPr>
              <w:t>education (fluid and salt repletion, compression garments,</w:t>
            </w:r>
            <w:r w:rsidR="117C53DE" w:rsidRPr="00825A60">
              <w:rPr>
                <w:rFonts w:ascii="Arial" w:eastAsia="Times New Roman" w:hAnsi="Arial" w:cs="Arial"/>
                <w:b w:val="0"/>
                <w:bCs w:val="0"/>
                <w:color w:val="000000"/>
                <w:kern w:val="2"/>
                <w14:ligatures w14:val="standardContextual"/>
              </w:rPr>
              <w:t xml:space="preserve"> isometric</w:t>
            </w:r>
            <w:r w:rsidRPr="00825A60">
              <w:rPr>
                <w:rFonts w:ascii="Arial" w:eastAsia="Times New Roman" w:hAnsi="Arial" w:cs="Arial"/>
                <w:b w:val="0"/>
                <w:bCs w:val="0"/>
                <w:color w:val="000000"/>
                <w:kern w:val="2"/>
                <w14:ligatures w14:val="standardContextual"/>
              </w:rPr>
              <w:t xml:space="preserve"> counterpressure manoeuvres)</w:t>
            </w: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2"/>
                <w14:ligatures w14:val="standardContextual"/>
              </w:rPr>
              <w:t xml:space="preserve"> </w:t>
            </w:r>
            <w:r w:rsidR="4BAE67BE">
              <w:rPr>
                <w:rFonts w:ascii="Arial" w:eastAsia="Times New Roman" w:hAnsi="Arial" w:cs="Arial"/>
                <w:b w:val="0"/>
                <w:bCs w:val="0"/>
                <w:color w:val="000000"/>
                <w:kern w:val="2"/>
                <w14:ligatures w14:val="standardContextual"/>
              </w:rPr>
              <w:t xml:space="preserve">and </w:t>
            </w:r>
            <w:r w:rsidRPr="6231E9BA">
              <w:rPr>
                <w:rFonts w:ascii="Arial" w:eastAsia="Times New Roman" w:hAnsi="Arial" w:cs="Arial"/>
                <w:color w:val="000000"/>
                <w:kern w:val="2"/>
                <w14:ligatures w14:val="standardContextual"/>
              </w:rPr>
              <w:t>refractory to trial(s) of medication.</w:t>
            </w:r>
          </w:p>
        </w:tc>
      </w:tr>
      <w:tr w:rsidR="00A61D71" w:rsidRPr="004F58F9" w14:paraId="10A03DAA" w14:textId="77777777" w:rsidTr="1850C53F">
        <w:trPr>
          <w:trHeight w:val="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shd w:val="clear" w:color="auto" w:fill="C2E3FF"/>
            <w:vAlign w:val="center"/>
          </w:tcPr>
          <w:p w14:paraId="64A1788A" w14:textId="77777777" w:rsidR="00A61D71" w:rsidRPr="004473D7" w:rsidRDefault="00A61D71" w:rsidP="00CD4B3F">
            <w:pPr>
              <w:ind w:right="140"/>
              <w:rPr>
                <w:rFonts w:ascii="Arial" w:eastAsia="Arial" w:hAnsi="Arial" w:cs="Arial"/>
              </w:rPr>
            </w:pPr>
            <w:r w:rsidRPr="6231E9BA">
              <w:rPr>
                <w:rFonts w:ascii="Arial" w:eastAsiaTheme="minorEastAsia" w:hAnsi="Arial" w:cs="Arial"/>
                <w:color w:val="181717"/>
                <w:kern w:val="24"/>
                <w:lang w:eastAsia="en-GB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</w:rPr>
              <w:t>Links to relevant national guidance, local guidelines and pathways:</w:t>
            </w:r>
          </w:p>
          <w:p w14:paraId="2089D4F3" w14:textId="1EEA611C" w:rsidR="29299771" w:rsidRPr="00331C09" w:rsidRDefault="29299771" w:rsidP="6231E9BA">
            <w:pPr>
              <w:pStyle w:val="ListParagraph"/>
              <w:numPr>
                <w:ilvl w:val="0"/>
                <w:numId w:val="8"/>
              </w:numPr>
              <w:ind w:right="140"/>
              <w:rPr>
                <w:rFonts w:ascii="Arial" w:eastAsia="Arial" w:hAnsi="Arial" w:cs="Arial"/>
                <w:color w:val="003087"/>
              </w:rPr>
            </w:pPr>
            <w:hyperlink r:id="rId16">
              <w:r w:rsidRPr="00331C09">
                <w:rPr>
                  <w:rStyle w:val="Hyperlink"/>
                  <w:rFonts w:ascii="Arial" w:eastAsia="Arial" w:hAnsi="Arial" w:cs="Arial"/>
                  <w:b w:val="0"/>
                  <w:bCs w:val="0"/>
                  <w:color w:val="003087"/>
                </w:rPr>
                <w:t>Canadian Cardiovascular Society Position Statement on Postural Orthostatic Tachycardia Syndrome (POTS) and Related Disorders of Chronic Orthostatic Intolerance - Canadian Journal of Cardiology</w:t>
              </w:r>
            </w:hyperlink>
          </w:p>
          <w:p w14:paraId="219A2AEA" w14:textId="77777777" w:rsidR="00A61D71" w:rsidRPr="00825A60" w:rsidRDefault="00A61D71" w:rsidP="00A61D71">
            <w:pPr>
              <w:pStyle w:val="ListParagraph"/>
              <w:numPr>
                <w:ilvl w:val="0"/>
                <w:numId w:val="8"/>
              </w:numPr>
              <w:ind w:right="140"/>
              <w:rPr>
                <w:rFonts w:ascii="Arial" w:hAnsi="Arial" w:cs="Arial"/>
              </w:rPr>
            </w:pPr>
            <w:hyperlink r:id="rId17">
              <w:r w:rsidRPr="6231E9BA">
                <w:rPr>
                  <w:rStyle w:val="Hyperlink"/>
                  <w:rFonts w:ascii="Arial" w:hAnsi="Arial" w:cs="Arial"/>
                  <w:b w:val="0"/>
                  <w:bCs w:val="0"/>
                  <w:color w:val="003087"/>
                </w:rPr>
                <w:t>European Society of Cardiology Syncope Guidelines 2018</w:t>
              </w:r>
            </w:hyperlink>
          </w:p>
          <w:p w14:paraId="4EEB2111" w14:textId="77777777" w:rsidR="00A61D71" w:rsidRDefault="00A61D71" w:rsidP="00CD4B3F">
            <w:pPr>
              <w:ind w:right="140"/>
              <w:rPr>
                <w:rFonts w:ascii="Arial" w:hAnsi="Arial" w:cs="Arial"/>
              </w:rPr>
            </w:pPr>
          </w:p>
          <w:p w14:paraId="2D606BDC" w14:textId="77777777" w:rsidR="00A61D71" w:rsidRPr="004473D7" w:rsidRDefault="00A61D71" w:rsidP="00CD4B3F">
            <w:pPr>
              <w:ind w:right="140"/>
              <w:rPr>
                <w:rFonts w:ascii="Arial" w:hAnsi="Arial" w:cs="Arial"/>
              </w:rPr>
            </w:pPr>
            <w:r w:rsidRPr="004473D7">
              <w:rPr>
                <w:rFonts w:ascii="Arial" w:hAnsi="Arial" w:cs="Arial"/>
              </w:rPr>
              <w:t>Resources for patients:</w:t>
            </w:r>
          </w:p>
          <w:p w14:paraId="671692DD" w14:textId="77777777" w:rsidR="00A61D71" w:rsidRPr="00A61D71" w:rsidRDefault="00A61D71" w:rsidP="00A61D71">
            <w:pPr>
              <w:pStyle w:val="ListParagraph"/>
              <w:numPr>
                <w:ilvl w:val="0"/>
                <w:numId w:val="12"/>
              </w:numPr>
              <w:shd w:val="clear" w:color="auto" w:fill="BDDEFF"/>
              <w:ind w:left="723"/>
              <w:rPr>
                <w:rStyle w:val="Hyperlink"/>
                <w:color w:val="003087"/>
              </w:rPr>
            </w:pPr>
            <w:hyperlink r:id="rId18" w:history="1">
              <w:r w:rsidRPr="00A61D71">
                <w:rPr>
                  <w:rStyle w:val="Hyperlink"/>
                  <w:rFonts w:ascii="Arial" w:eastAsia="Arial" w:hAnsi="Arial" w:cs="Arial"/>
                  <w:b w:val="0"/>
                  <w:bCs w:val="0"/>
                  <w:color w:val="003087"/>
                </w:rPr>
                <w:t>NHS Conditions: Dizziness</w:t>
              </w:r>
            </w:hyperlink>
          </w:p>
          <w:p w14:paraId="680D0E1C" w14:textId="77777777" w:rsidR="00A61D71" w:rsidRPr="00A61D71" w:rsidRDefault="00A61D71" w:rsidP="00A61D71">
            <w:pPr>
              <w:pStyle w:val="ListParagraph"/>
              <w:numPr>
                <w:ilvl w:val="0"/>
                <w:numId w:val="12"/>
              </w:numPr>
              <w:shd w:val="clear" w:color="auto" w:fill="BDDEFF"/>
              <w:ind w:left="723"/>
              <w:rPr>
                <w:rStyle w:val="Hyperlink"/>
                <w:color w:val="003087"/>
              </w:rPr>
            </w:pPr>
            <w:hyperlink r:id="rId19" w:history="1">
              <w:r w:rsidRPr="00A61D71">
                <w:rPr>
                  <w:rStyle w:val="Hyperlink"/>
                  <w:rFonts w:ascii="Arial" w:eastAsia="Arial" w:hAnsi="Arial" w:cs="Arial"/>
                  <w:b w:val="0"/>
                  <w:bCs w:val="0"/>
                  <w:color w:val="003087"/>
                </w:rPr>
                <w:t>NHS Conditions: POTS</w:t>
              </w:r>
            </w:hyperlink>
          </w:p>
          <w:p w14:paraId="57E3429B" w14:textId="77777777" w:rsidR="00A61D71" w:rsidRPr="00A61D71" w:rsidRDefault="00A61D71" w:rsidP="00A61D71">
            <w:pPr>
              <w:pStyle w:val="ListParagraph"/>
              <w:numPr>
                <w:ilvl w:val="0"/>
                <w:numId w:val="12"/>
              </w:numPr>
              <w:shd w:val="clear" w:color="auto" w:fill="BDDEFF"/>
              <w:ind w:left="723"/>
              <w:rPr>
                <w:rStyle w:val="Hyperlink"/>
                <w:color w:val="003087"/>
              </w:rPr>
            </w:pPr>
            <w:hyperlink r:id="rId20" w:history="1">
              <w:r w:rsidRPr="00A61D71">
                <w:rPr>
                  <w:rStyle w:val="Hyperlink"/>
                  <w:rFonts w:ascii="Arial" w:eastAsia="Arial" w:hAnsi="Arial" w:cs="Arial"/>
                  <w:b w:val="0"/>
                  <w:bCs w:val="0"/>
                  <w:color w:val="003087"/>
                </w:rPr>
                <w:t>POTS UK</w:t>
              </w:r>
            </w:hyperlink>
          </w:p>
          <w:p w14:paraId="447F0681" w14:textId="77777777" w:rsidR="00A61D71" w:rsidRPr="00A61D71" w:rsidRDefault="00A61D71" w:rsidP="00A61D71">
            <w:pPr>
              <w:pStyle w:val="ListParagraph"/>
              <w:numPr>
                <w:ilvl w:val="0"/>
                <w:numId w:val="12"/>
              </w:numPr>
              <w:shd w:val="clear" w:color="auto" w:fill="BDDEFF"/>
              <w:ind w:left="723"/>
              <w:rPr>
                <w:rStyle w:val="Hyperlink"/>
                <w:color w:val="003087"/>
              </w:rPr>
            </w:pPr>
            <w:hyperlink r:id="rId21" w:history="1">
              <w:r w:rsidRPr="00A61D71">
                <w:rPr>
                  <w:rStyle w:val="Hyperlink"/>
                  <w:rFonts w:ascii="Arial" w:eastAsia="Arial" w:hAnsi="Arial" w:cs="Arial"/>
                  <w:b w:val="0"/>
                  <w:bCs w:val="0"/>
                  <w:color w:val="003087"/>
                </w:rPr>
                <w:t>Dysautonomia International</w:t>
              </w:r>
            </w:hyperlink>
          </w:p>
          <w:p w14:paraId="582966AB" w14:textId="63AAB084" w:rsidR="00A61D71" w:rsidRPr="00A61D71" w:rsidRDefault="00A61D71" w:rsidP="00A61D71">
            <w:pPr>
              <w:pStyle w:val="ListParagraph"/>
              <w:numPr>
                <w:ilvl w:val="0"/>
                <w:numId w:val="12"/>
              </w:numPr>
              <w:shd w:val="clear" w:color="auto" w:fill="BDDEFF"/>
              <w:ind w:left="723"/>
              <w:rPr>
                <w:rFonts w:ascii="Arial" w:eastAsia="Arial" w:hAnsi="Arial" w:cs="Arial"/>
                <w:color w:val="003087"/>
              </w:rPr>
            </w:pPr>
            <w:hyperlink r:id="rId22">
              <w:proofErr w:type="spellStart"/>
              <w:r w:rsidRPr="6231E9BA">
                <w:rPr>
                  <w:rStyle w:val="Hyperlink"/>
                  <w:rFonts w:ascii="Arial" w:eastAsia="Arial" w:hAnsi="Arial" w:cs="Arial"/>
                  <w:b w:val="0"/>
                  <w:bCs w:val="0"/>
                  <w:color w:val="003087"/>
                </w:rPr>
                <w:t>StopFainting</w:t>
              </w:r>
              <w:proofErr w:type="spellEnd"/>
              <w:r w:rsidRPr="6231E9BA">
                <w:rPr>
                  <w:rStyle w:val="Hyperlink"/>
                  <w:rFonts w:ascii="Arial" w:eastAsia="Arial" w:hAnsi="Arial" w:cs="Arial"/>
                  <w:b w:val="0"/>
                  <w:bCs w:val="0"/>
                  <w:color w:val="003087"/>
                </w:rPr>
                <w:t xml:space="preserve"> website</w:t>
              </w:r>
            </w:hyperlink>
          </w:p>
          <w:p w14:paraId="475485DD" w14:textId="77777777" w:rsidR="00A61D71" w:rsidRPr="00CE112A" w:rsidRDefault="00A61D71" w:rsidP="00CD4B3F">
            <w:pPr>
              <w:pStyle w:val="ListParagraph"/>
              <w:shd w:val="clear" w:color="auto" w:fill="BDDEFF"/>
              <w:ind w:left="723"/>
              <w:rPr>
                <w:rFonts w:ascii="Arial" w:eastAsia="Arial" w:hAnsi="Arial" w:cs="Arial"/>
              </w:rPr>
            </w:pPr>
          </w:p>
        </w:tc>
      </w:tr>
      <w:tr w:rsidR="00A61D71" w:rsidRPr="004F58F9" w14:paraId="76D690FF" w14:textId="77777777" w:rsidTr="1850C53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shd w:val="clear" w:color="auto" w:fill="D9D9D9" w:themeFill="background1" w:themeFillShade="D9"/>
            <w:vAlign w:val="center"/>
          </w:tcPr>
          <w:p w14:paraId="6E6A5615" w14:textId="77777777" w:rsidR="00A61D71" w:rsidRDefault="00A61D71" w:rsidP="00CD4B3F">
            <w:pPr>
              <w:shd w:val="clear" w:color="auto" w:fill="D9D9D9"/>
              <w:rPr>
                <w:rFonts w:ascii="Arial" w:eastAsia="Arial" w:hAnsi="Arial" w:cs="Arial"/>
              </w:rPr>
            </w:pPr>
            <w:r w:rsidRPr="00825A60">
              <w:rPr>
                <w:rFonts w:ascii="Arial" w:eastAsia="Arial" w:hAnsi="Arial" w:cs="Arial"/>
                <w:b w:val="0"/>
                <w:bCs w:val="0"/>
              </w:rPr>
              <w:t>If referring back, please state that the referral has already been through Advice and Guidance and include previous correspondence so we don’t duplicate advice.</w:t>
            </w:r>
          </w:p>
          <w:p w14:paraId="00754DBB" w14:textId="77777777" w:rsidR="00A61D71" w:rsidRPr="00825A60" w:rsidRDefault="00A61D71" w:rsidP="00CD4B3F">
            <w:pPr>
              <w:shd w:val="clear" w:color="auto" w:fill="D9D9D9"/>
              <w:rPr>
                <w:rFonts w:ascii="Arial" w:eastAsia="Arial" w:hAnsi="Arial" w:cs="Arial"/>
              </w:rPr>
            </w:pPr>
          </w:p>
          <w:p w14:paraId="2F33BA34" w14:textId="77777777" w:rsidR="00A61D71" w:rsidRPr="00825A60" w:rsidRDefault="00A61D71" w:rsidP="00CD4B3F">
            <w:pPr>
              <w:shd w:val="clear" w:color="auto" w:fill="D9D9D9"/>
              <w:rPr>
                <w:rFonts w:ascii="Arial" w:eastAsia="Arial" w:hAnsi="Arial" w:cs="Arial"/>
              </w:rPr>
            </w:pPr>
            <w:r w:rsidRPr="00825A60">
              <w:rPr>
                <w:rFonts w:ascii="Arial" w:eastAsia="Arial" w:hAnsi="Arial" w:cs="Arial"/>
                <w:b w:val="0"/>
                <w:bCs w:val="0"/>
              </w:rPr>
              <w:t>With kind regards,</w:t>
            </w:r>
          </w:p>
          <w:p w14:paraId="6E7B2A5D" w14:textId="77777777" w:rsidR="00A61D71" w:rsidRDefault="00A61D71" w:rsidP="00CD4B3F">
            <w:pPr>
              <w:rPr>
                <w:rFonts w:ascii="Arial" w:eastAsia="Arial" w:hAnsi="Arial" w:cs="Arial"/>
              </w:rPr>
            </w:pPr>
            <w:r w:rsidRPr="00825A60">
              <w:rPr>
                <w:rFonts w:ascii="Arial" w:eastAsia="Arial" w:hAnsi="Arial" w:cs="Arial"/>
                <w:b w:val="0"/>
                <w:bCs w:val="0"/>
              </w:rPr>
              <w:t>[Responding clinician name and role]</w:t>
            </w:r>
          </w:p>
          <w:p w14:paraId="06153673" w14:textId="77777777" w:rsidR="00A61D71" w:rsidRPr="00A6608E" w:rsidRDefault="00A61D71" w:rsidP="00CD4B3F">
            <w:pPr>
              <w:rPr>
                <w:rFonts w:ascii="Arial" w:eastAsia="Arial" w:hAnsi="Arial" w:cs="Arial"/>
              </w:rPr>
            </w:pPr>
          </w:p>
        </w:tc>
      </w:tr>
    </w:tbl>
    <w:p w14:paraId="7DA1FDEF" w14:textId="77777777" w:rsidR="00A61D71" w:rsidRDefault="00A61D71"/>
    <w:sectPr w:rsidR="00A61D71" w:rsidSect="00A61D71">
      <w:pgSz w:w="11906" w:h="16838"/>
      <w:pgMar w:top="709" w:right="1440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A5078"/>
    <w:multiLevelType w:val="hybridMultilevel"/>
    <w:tmpl w:val="8ACE904C"/>
    <w:lvl w:ilvl="0" w:tplc="8C90D17C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11C85325"/>
    <w:multiLevelType w:val="hybridMultilevel"/>
    <w:tmpl w:val="08BA3316"/>
    <w:lvl w:ilvl="0" w:tplc="8C90D17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C87C3F"/>
    <w:multiLevelType w:val="multilevel"/>
    <w:tmpl w:val="785AA5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EF45B3"/>
    <w:multiLevelType w:val="multilevel"/>
    <w:tmpl w:val="6B82B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83586E"/>
    <w:multiLevelType w:val="hybridMultilevel"/>
    <w:tmpl w:val="6C48A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11E3F"/>
    <w:multiLevelType w:val="multilevel"/>
    <w:tmpl w:val="25EE6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9F3E41"/>
    <w:multiLevelType w:val="hybridMultilevel"/>
    <w:tmpl w:val="57247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462CA"/>
    <w:multiLevelType w:val="hybridMultilevel"/>
    <w:tmpl w:val="70165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C226D"/>
    <w:multiLevelType w:val="multilevel"/>
    <w:tmpl w:val="E9085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F7372E"/>
    <w:multiLevelType w:val="hybridMultilevel"/>
    <w:tmpl w:val="5D7AA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326DF3"/>
    <w:multiLevelType w:val="hybridMultilevel"/>
    <w:tmpl w:val="4732A9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3D2768"/>
    <w:multiLevelType w:val="multilevel"/>
    <w:tmpl w:val="E5C44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3C1BCA"/>
    <w:multiLevelType w:val="multilevel"/>
    <w:tmpl w:val="91CCD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547F43"/>
    <w:multiLevelType w:val="multilevel"/>
    <w:tmpl w:val="C58868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0D55B4"/>
    <w:multiLevelType w:val="hybridMultilevel"/>
    <w:tmpl w:val="87462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156031">
    <w:abstractNumId w:val="5"/>
  </w:num>
  <w:num w:numId="2" w16cid:durableId="1241870273">
    <w:abstractNumId w:val="13"/>
  </w:num>
  <w:num w:numId="3" w16cid:durableId="1477066560">
    <w:abstractNumId w:val="12"/>
  </w:num>
  <w:num w:numId="4" w16cid:durableId="1542522569">
    <w:abstractNumId w:val="2"/>
  </w:num>
  <w:num w:numId="5" w16cid:durableId="1573932617">
    <w:abstractNumId w:val="0"/>
  </w:num>
  <w:num w:numId="6" w16cid:durableId="2032802263">
    <w:abstractNumId w:val="11"/>
  </w:num>
  <w:num w:numId="7" w16cid:durableId="2121799622">
    <w:abstractNumId w:val="7"/>
  </w:num>
  <w:num w:numId="8" w16cid:durableId="2122604251">
    <w:abstractNumId w:val="6"/>
  </w:num>
  <w:num w:numId="9" w16cid:durableId="273294368">
    <w:abstractNumId w:val="3"/>
  </w:num>
  <w:num w:numId="10" w16cid:durableId="459810123">
    <w:abstractNumId w:val="14"/>
  </w:num>
  <w:num w:numId="11" w16cid:durableId="500046828">
    <w:abstractNumId w:val="8"/>
  </w:num>
  <w:num w:numId="12" w16cid:durableId="551816075">
    <w:abstractNumId w:val="1"/>
  </w:num>
  <w:num w:numId="13" w16cid:durableId="626662909">
    <w:abstractNumId w:val="10"/>
  </w:num>
  <w:num w:numId="14" w16cid:durableId="66071632">
    <w:abstractNumId w:val="9"/>
  </w:num>
  <w:num w:numId="15" w16cid:durableId="7594518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D71"/>
    <w:rsid w:val="00121715"/>
    <w:rsid w:val="001668E0"/>
    <w:rsid w:val="00257FD5"/>
    <w:rsid w:val="002808CE"/>
    <w:rsid w:val="00331C09"/>
    <w:rsid w:val="003341BB"/>
    <w:rsid w:val="003C2F2C"/>
    <w:rsid w:val="004963FF"/>
    <w:rsid w:val="004D3824"/>
    <w:rsid w:val="0052020E"/>
    <w:rsid w:val="00574E52"/>
    <w:rsid w:val="005A39A2"/>
    <w:rsid w:val="005C29A6"/>
    <w:rsid w:val="005C4CBD"/>
    <w:rsid w:val="00603B7C"/>
    <w:rsid w:val="0066434A"/>
    <w:rsid w:val="006D7762"/>
    <w:rsid w:val="0076951E"/>
    <w:rsid w:val="0083040A"/>
    <w:rsid w:val="008E4650"/>
    <w:rsid w:val="009C2FBC"/>
    <w:rsid w:val="009F0332"/>
    <w:rsid w:val="00A02596"/>
    <w:rsid w:val="00A51F99"/>
    <w:rsid w:val="00A61D71"/>
    <w:rsid w:val="00AD34CA"/>
    <w:rsid w:val="00AF4270"/>
    <w:rsid w:val="00B05EAE"/>
    <w:rsid w:val="00B554DE"/>
    <w:rsid w:val="00B85EC2"/>
    <w:rsid w:val="00C13431"/>
    <w:rsid w:val="00C47DEC"/>
    <w:rsid w:val="00CB6294"/>
    <w:rsid w:val="00CD4B3F"/>
    <w:rsid w:val="00D42D01"/>
    <w:rsid w:val="00D54440"/>
    <w:rsid w:val="00D65615"/>
    <w:rsid w:val="00DA02DB"/>
    <w:rsid w:val="00DA0C69"/>
    <w:rsid w:val="00E8193E"/>
    <w:rsid w:val="00EB3857"/>
    <w:rsid w:val="00EF5845"/>
    <w:rsid w:val="00EF679C"/>
    <w:rsid w:val="00F76526"/>
    <w:rsid w:val="00FE578F"/>
    <w:rsid w:val="01C2C0CF"/>
    <w:rsid w:val="03226416"/>
    <w:rsid w:val="062C16ED"/>
    <w:rsid w:val="07C69B96"/>
    <w:rsid w:val="07E0D1E9"/>
    <w:rsid w:val="085CCA76"/>
    <w:rsid w:val="104F2555"/>
    <w:rsid w:val="117C53DE"/>
    <w:rsid w:val="17DCDB17"/>
    <w:rsid w:val="1850C53F"/>
    <w:rsid w:val="19AE05BA"/>
    <w:rsid w:val="1B7869BB"/>
    <w:rsid w:val="1C3789BA"/>
    <w:rsid w:val="1CF7A475"/>
    <w:rsid w:val="1D4806AC"/>
    <w:rsid w:val="1E4BAA3B"/>
    <w:rsid w:val="1E4DF7D0"/>
    <w:rsid w:val="1F7D9B5D"/>
    <w:rsid w:val="21E06C7C"/>
    <w:rsid w:val="262B3F09"/>
    <w:rsid w:val="29299771"/>
    <w:rsid w:val="2BEF1F4C"/>
    <w:rsid w:val="2C503F6B"/>
    <w:rsid w:val="2E98A3AF"/>
    <w:rsid w:val="3301EA20"/>
    <w:rsid w:val="33980B41"/>
    <w:rsid w:val="360BA00C"/>
    <w:rsid w:val="393CE72E"/>
    <w:rsid w:val="3D194FE5"/>
    <w:rsid w:val="3D2B3462"/>
    <w:rsid w:val="3D429615"/>
    <w:rsid w:val="3FB5F79C"/>
    <w:rsid w:val="40653641"/>
    <w:rsid w:val="47518634"/>
    <w:rsid w:val="4A70D627"/>
    <w:rsid w:val="4AEF3698"/>
    <w:rsid w:val="4B5EB175"/>
    <w:rsid w:val="4BA6EDEF"/>
    <w:rsid w:val="4BAE67BE"/>
    <w:rsid w:val="4BCD81CD"/>
    <w:rsid w:val="4D29726B"/>
    <w:rsid w:val="4F5CDA7F"/>
    <w:rsid w:val="4FDBCFA4"/>
    <w:rsid w:val="4FFF0201"/>
    <w:rsid w:val="514CF3CB"/>
    <w:rsid w:val="540E2B06"/>
    <w:rsid w:val="5553FD71"/>
    <w:rsid w:val="582B6E2F"/>
    <w:rsid w:val="59C6C71D"/>
    <w:rsid w:val="5B8EA0CA"/>
    <w:rsid w:val="5E3663E0"/>
    <w:rsid w:val="5E379FCA"/>
    <w:rsid w:val="5F4C0803"/>
    <w:rsid w:val="5FFAB966"/>
    <w:rsid w:val="60660084"/>
    <w:rsid w:val="6231E9BA"/>
    <w:rsid w:val="62ADE6D8"/>
    <w:rsid w:val="6C3EF709"/>
    <w:rsid w:val="6D33F2C4"/>
    <w:rsid w:val="6DAD90DD"/>
    <w:rsid w:val="6E6B173C"/>
    <w:rsid w:val="6F060A51"/>
    <w:rsid w:val="7006BD0E"/>
    <w:rsid w:val="70359E31"/>
    <w:rsid w:val="71B9E385"/>
    <w:rsid w:val="734831A9"/>
    <w:rsid w:val="7459C6FC"/>
    <w:rsid w:val="75EB3441"/>
    <w:rsid w:val="77CB86B9"/>
    <w:rsid w:val="78371E88"/>
    <w:rsid w:val="7AE771C6"/>
    <w:rsid w:val="7DC4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7F71F"/>
  <w15:chartTrackingRefBased/>
  <w15:docId w15:val="{EBDCB893-04F6-4111-8251-5297B2997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D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D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D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D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D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D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D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D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D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D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D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D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D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D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D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D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D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D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D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D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D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D71"/>
    <w:rPr>
      <w:i/>
      <w:iCs/>
      <w:color w:val="404040" w:themeColor="text1" w:themeTint="BF"/>
    </w:rPr>
  </w:style>
  <w:style w:type="paragraph" w:styleId="ListParagraph">
    <w:name w:val="List Paragraph"/>
    <w:aliases w:val="M Bullet small"/>
    <w:basedOn w:val="Normal"/>
    <w:link w:val="ListParagraphChar"/>
    <w:uiPriority w:val="34"/>
    <w:qFormat/>
    <w:rsid w:val="00A61D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D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D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D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D7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1D7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61D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1D71"/>
    <w:pPr>
      <w:spacing w:after="12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1D71"/>
    <w:rPr>
      <w:kern w:val="0"/>
      <w:sz w:val="20"/>
      <w:szCs w:val="20"/>
      <w14:ligatures w14:val="none"/>
    </w:rPr>
  </w:style>
  <w:style w:type="character" w:customStyle="1" w:styleId="ListParagraphChar">
    <w:name w:val="List Paragraph Char"/>
    <w:aliases w:val="M Bullet small Char"/>
    <w:link w:val="ListParagraph"/>
    <w:uiPriority w:val="34"/>
    <w:locked/>
    <w:rsid w:val="00A61D71"/>
  </w:style>
  <w:style w:type="table" w:customStyle="1" w:styleId="PlainTable11">
    <w:name w:val="Plain Table 11"/>
    <w:basedOn w:val="TableNormal"/>
    <w:next w:val="PlainTable1"/>
    <w:uiPriority w:val="41"/>
    <w:rsid w:val="00A61D71"/>
    <w:pPr>
      <w:spacing w:after="0" w:line="240" w:lineRule="auto"/>
    </w:pPr>
    <w:rPr>
      <w:kern w:val="0"/>
      <w14:ligatures w14:val="none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A61D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FE57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34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opfainting.com/articles-105/" TargetMode="External"/><Relationship Id="rId13" Type="http://schemas.openxmlformats.org/officeDocument/2006/relationships/hyperlink" Target="https://www.potsuk.org/" TargetMode="External"/><Relationship Id="rId18" Type="http://schemas.openxmlformats.org/officeDocument/2006/relationships/hyperlink" Target="https://www.nhs.uk/conditions/dizzines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dysautonomiainternational.org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potsuk.org/managingpots/compression-clothing/" TargetMode="External"/><Relationship Id="rId17" Type="http://schemas.openxmlformats.org/officeDocument/2006/relationships/hyperlink" Target="https://www.escardio.org/Guidelines/Clinical-Practice-Guidelines/Syncope-Guidelines-on-Diagnosis-and-Management-o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nlinecjc.ca/article/S0828-282X(19)31550-8/fulltext" TargetMode="External"/><Relationship Id="rId20" Type="http://schemas.openxmlformats.org/officeDocument/2006/relationships/hyperlink" Target="https://www.potsuk.org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topfainting.com/articles-105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dysautonomiainternational.org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potsuk.org/managingpots/pots-and-exercise/" TargetMode="External"/><Relationship Id="rId19" Type="http://schemas.openxmlformats.org/officeDocument/2006/relationships/hyperlink" Target="https://www.nhs.uk/conditions/postural-tachycardia-syndrome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topfainting.com/articles-201/" TargetMode="External"/><Relationship Id="rId14" Type="http://schemas.openxmlformats.org/officeDocument/2006/relationships/hyperlink" Target="http://www.stopfainting.com/" TargetMode="External"/><Relationship Id="rId22" Type="http://schemas.openxmlformats.org/officeDocument/2006/relationships/hyperlink" Target="http://www.stopfainting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5F438F1A4505458CC99CD4B88167F8" ma:contentTypeVersion="48" ma:contentTypeDescription="Create a new document." ma:contentTypeScope="" ma:versionID="7c79390b504e861b0fdaa38e5b36edb5">
  <xsd:schema xmlns:xsd="http://www.w3.org/2001/XMLSchema" xmlns:xs="http://www.w3.org/2001/XMLSchema" xmlns:p="http://schemas.microsoft.com/office/2006/metadata/properties" xmlns:ns2="1f191942-6bfc-41ac-b818-c27b6457eb64" xmlns:ns3="0657cea1-7abe-4a58-9362-8a3f81fe83bb" targetNamespace="http://schemas.microsoft.com/office/2006/metadata/properties" ma:root="true" ma:fieldsID="11b41e8ac1b721e33f3b675e3d0e0030" ns2:_="" ns3:_="">
    <xsd:import namespace="1f191942-6bfc-41ac-b818-c27b6457eb64"/>
    <xsd:import namespace="0657cea1-7abe-4a58-9362-8a3f81fe8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_ip_UnifiedCompliancePolicyProperties" minOccurs="0"/>
                <xsd:element ref="ns3:_ip_UnifiedCompliancePolicyUIAction" minOccurs="0"/>
                <xsd:element ref="ns2:Active" minOccurs="0"/>
                <xsd:element ref="ns2:Status" minOccurs="0"/>
                <xsd:element ref="ns2:MediaServiceObjectDetectorVersions" minOccurs="0"/>
                <xsd:element ref="ns2:Presentable_x003f_" minOccurs="0"/>
                <xsd:element ref="ns2:PolicyorSOP_x003f_" minOccurs="0"/>
                <xsd:element ref="ns2:Potentialpriorty_x003f_" minOccurs="0"/>
                <xsd:element ref="ns2:Domain" minOccurs="0"/>
                <xsd:element ref="ns2:Hub" minOccurs="0"/>
                <xsd:element ref="ns2:MovetoNextReview_x0028_ClinicalLeads_x0029_" minOccurs="0"/>
                <xsd:element ref="ns2:Hubname" minOccurs="0"/>
                <xsd:element ref="ns2:DomainNumber" minOccurs="0"/>
                <xsd:element ref="ns2:MediaServiceSearchProperties" minOccurs="0"/>
                <xsd:element ref="ns2:FAQ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91942-6bfc-41ac-b818-c27b6457eb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description="" ma:hidden="true" ma:internalName="MediaServiceOCR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ctive" ma:index="20" nillable="true" ma:displayName="Active" ma:default="1" ma:description="Is project active?" ma:hidden="true" ma:internalName="Active" ma:readOnly="false">
      <xsd:simpleType>
        <xsd:restriction base="dms:Boolean"/>
      </xsd:simpleType>
    </xsd:element>
    <xsd:element name="Status" ma:index="21" nillable="true" ma:displayName="Status" ma:description="for PH use" ma:internalName="Status" ma:readOnly="false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resentable_x003f_" ma:index="23" nillable="true" ma:displayName="Potentially shareable?" ma:default="Not reviewed" ma:format="Dropdown" ma:internalName="Presentable_x003f_" ma:readOnly="false">
      <xsd:simpleType>
        <xsd:restriction base="dms:Choice">
          <xsd:enumeration value="Yes"/>
          <xsd:enumeration value="No"/>
          <xsd:enumeration value="Not reviewed"/>
        </xsd:restriction>
      </xsd:simpleType>
    </xsd:element>
    <xsd:element name="PolicyorSOP_x003f_" ma:index="24" nillable="true" ma:displayName="Policy or SOP?" ma:format="Dropdown" ma:internalName="PolicyorSOP_x003f_" ma:readOnly="false">
      <xsd:simpleType>
        <xsd:restriction base="dms:Choice">
          <xsd:enumeration value="Yes"/>
          <xsd:enumeration value="No"/>
          <xsd:enumeration value="Not reviewed"/>
        </xsd:restriction>
      </xsd:simpleType>
    </xsd:element>
    <xsd:element name="Potentialpriorty_x003f_" ma:index="25" nillable="true" ma:displayName="For review by LN" ma:default="1" ma:description="MB ticked the box for &quot;Yes&quot; when LN should review a document" ma:indexed="true" ma:internalName="Potentialpriorty_x003f_" ma:readOnly="false">
      <xsd:simpleType>
        <xsd:restriction base="dms:Boolean"/>
      </xsd:simpleType>
    </xsd:element>
    <xsd:element name="Domain" ma:index="26" nillable="true" ma:displayName="Domain" ma:format="Dropdown" ma:indexed="true" ma:internalName="Domain" ma:readOnly="false">
      <xsd:simpleType>
        <xsd:restriction base="dms:Choice">
          <xsd:enumeration value="Domain 1"/>
          <xsd:enumeration value="Domain 2"/>
          <xsd:enumeration value="Domain 3"/>
          <xsd:enumeration value="Domain 4"/>
          <xsd:enumeration value="Domain 5"/>
        </xsd:restriction>
      </xsd:simpleType>
    </xsd:element>
    <xsd:element name="Hub" ma:index="27" nillable="true" ma:displayName="Hub" ma:internalName="Hub" ma:readOnly="false">
      <xsd:simpleType>
        <xsd:restriction base="dms:Text">
          <xsd:maxLength value="255"/>
        </xsd:restriction>
      </xsd:simpleType>
    </xsd:element>
    <xsd:element name="MovetoNextReview_x0028_ClinicalLeads_x0029_" ma:index="28" nillable="true" ma:displayName="Move to Next Review (Clinical Leads)" ma:default="1" ma:description="LN to tick the box for &quot;yes&quot; when the document should be taken forward to the next  review (e.g. by Clinical Leads)" ma:internalName="MovetoNextReview_x0028_ClinicalLeads_x0029_" ma:readOnly="false">
      <xsd:simpleType>
        <xsd:restriction base="dms:Boolean"/>
      </xsd:simpleType>
    </xsd:element>
    <xsd:element name="Hubname" ma:index="29" nillable="true" ma:displayName="Hub name" ma:internalName="Hubname" ma:readOnly="false">
      <xsd:simpleType>
        <xsd:restriction base="dms:Text">
          <xsd:maxLength value="255"/>
        </xsd:restriction>
      </xsd:simpleType>
    </xsd:element>
    <xsd:element name="DomainNumber" ma:index="30" nillable="true" ma:displayName="Domain Number" ma:format="Dropdown" ma:internalName="DomainNumber" ma:readOnly="false">
      <xsd:simpleType>
        <xsd:restriction base="dms:Choice">
          <xsd:enumeration value="Domain 1"/>
          <xsd:enumeration value="Domain 2"/>
          <xsd:enumeration value="Domain 3"/>
          <xsd:enumeration value="Domain 4"/>
          <xsd:enumeration value="Domain 5"/>
        </xsd:restriction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AQ" ma:index="34" nillable="true" ma:displayName="FAQ" ma:format="Dropdown" ma:internalName="FAQ">
      <xsd:simpleType>
        <xsd:restriction base="dms:Text">
          <xsd:maxLength value="255"/>
        </xsd:restriction>
      </xsd:simpleType>
    </xsd:element>
    <xsd:element name="MediaServiceLocation" ma:index="3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7cea1-7abe-4a58-9362-8a3f81fe83b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7" nillable="true" ma:displayName="Taxonomy Catch All Column" ma:hidden="true" ma:list="{32534fcb-c3dd-4f22-a43d-bac975b158d8}" ma:internalName="TaxCatchAll" ma:showField="CatchAllData" ma:web="0657cea1-7abe-4a58-9362-8a3f81fe8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8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0657cea1-7abe-4a58-9362-8a3f81fe83bb" xsi:nil="true"/>
    <DomainNumber xmlns="1f191942-6bfc-41ac-b818-c27b6457eb64" xsi:nil="true"/>
    <lcf76f155ced4ddcb4097134ff3c332f xmlns="1f191942-6bfc-41ac-b818-c27b6457eb64">
      <Terms xmlns="http://schemas.microsoft.com/office/infopath/2007/PartnerControls"/>
    </lcf76f155ced4ddcb4097134ff3c332f>
    <Domain xmlns="1f191942-6bfc-41ac-b818-c27b6457eb64" xsi:nil="true"/>
    <PolicyorSOP_x003f_ xmlns="1f191942-6bfc-41ac-b818-c27b6457eb64" xsi:nil="true"/>
    <_ip_UnifiedCompliancePolicyProperties xmlns="0657cea1-7abe-4a58-9362-8a3f81fe83bb" xsi:nil="true"/>
    <Hubname xmlns="1f191942-6bfc-41ac-b818-c27b6457eb64" xsi:nil="true"/>
    <TaxCatchAll xmlns="0657cea1-7abe-4a58-9362-8a3f81fe83bb" xsi:nil="true"/>
    <Active xmlns="1f191942-6bfc-41ac-b818-c27b6457eb64">true</Active>
    <Potentialpriorty_x003f_ xmlns="1f191942-6bfc-41ac-b818-c27b6457eb64">true</Potentialpriorty_x003f_>
    <MovetoNextReview_x0028_ClinicalLeads_x0029_ xmlns="1f191942-6bfc-41ac-b818-c27b6457eb64">true</MovetoNextReview_x0028_ClinicalLeads_x0029_>
    <Presentable_x003f_ xmlns="1f191942-6bfc-41ac-b818-c27b6457eb64">Not reviewed</Presentable_x003f_>
    <Hub xmlns="1f191942-6bfc-41ac-b818-c27b6457eb64" xsi:nil="true"/>
    <Status xmlns="1f191942-6bfc-41ac-b818-c27b6457eb64" xsi:nil="true"/>
    <FAQ xmlns="1f191942-6bfc-41ac-b818-c27b6457eb64" xsi:nil="true"/>
  </documentManagement>
</p:properties>
</file>

<file path=customXml/itemProps1.xml><?xml version="1.0" encoding="utf-8"?>
<ds:datastoreItem xmlns:ds="http://schemas.openxmlformats.org/officeDocument/2006/customXml" ds:itemID="{C8E1337F-EEBD-40C7-8C9D-7BF9169BAD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96C022-4DA9-4722-82ED-E8862C31FD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91942-6bfc-41ac-b818-c27b6457eb64"/>
    <ds:schemaRef ds:uri="0657cea1-7abe-4a58-9362-8a3f81fe8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4DEB93-4A92-4E3A-A96C-ADFAA1356ACE}">
  <ds:schemaRefs>
    <ds:schemaRef ds:uri="http://schemas.microsoft.com/office/2006/metadata/properties"/>
    <ds:schemaRef ds:uri="http://schemas.microsoft.com/office/infopath/2007/PartnerControls"/>
    <ds:schemaRef ds:uri="0657cea1-7abe-4a58-9362-8a3f81fe83bb"/>
    <ds:schemaRef ds:uri="1f191942-6bfc-41ac-b818-c27b6457eb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1078</Words>
  <Characters>6150</Characters>
  <Application>Microsoft Office Word</Application>
  <DocSecurity>4</DocSecurity>
  <Lines>51</Lines>
  <Paragraphs>14</Paragraphs>
  <ScaleCrop>false</ScaleCrop>
  <Company/>
  <LinksUpToDate>false</LinksUpToDate>
  <CharactersWithSpaces>7214</CharactersWithSpaces>
  <SharedDoc>false</SharedDoc>
  <HLinks>
    <vt:vector size="90" baseType="variant">
      <vt:variant>
        <vt:i4>4980827</vt:i4>
      </vt:variant>
      <vt:variant>
        <vt:i4>42</vt:i4>
      </vt:variant>
      <vt:variant>
        <vt:i4>0</vt:i4>
      </vt:variant>
      <vt:variant>
        <vt:i4>5</vt:i4>
      </vt:variant>
      <vt:variant>
        <vt:lpwstr>http://www.stopfainting.com/</vt:lpwstr>
      </vt:variant>
      <vt:variant>
        <vt:lpwstr/>
      </vt:variant>
      <vt:variant>
        <vt:i4>2752550</vt:i4>
      </vt:variant>
      <vt:variant>
        <vt:i4>39</vt:i4>
      </vt:variant>
      <vt:variant>
        <vt:i4>0</vt:i4>
      </vt:variant>
      <vt:variant>
        <vt:i4>5</vt:i4>
      </vt:variant>
      <vt:variant>
        <vt:lpwstr>https://www.dysautonomiainternational.org/</vt:lpwstr>
      </vt:variant>
      <vt:variant>
        <vt:lpwstr/>
      </vt:variant>
      <vt:variant>
        <vt:i4>3604589</vt:i4>
      </vt:variant>
      <vt:variant>
        <vt:i4>36</vt:i4>
      </vt:variant>
      <vt:variant>
        <vt:i4>0</vt:i4>
      </vt:variant>
      <vt:variant>
        <vt:i4>5</vt:i4>
      </vt:variant>
      <vt:variant>
        <vt:lpwstr>https://www.potsuk.org/</vt:lpwstr>
      </vt:variant>
      <vt:variant>
        <vt:lpwstr/>
      </vt:variant>
      <vt:variant>
        <vt:i4>720917</vt:i4>
      </vt:variant>
      <vt:variant>
        <vt:i4>33</vt:i4>
      </vt:variant>
      <vt:variant>
        <vt:i4>0</vt:i4>
      </vt:variant>
      <vt:variant>
        <vt:i4>5</vt:i4>
      </vt:variant>
      <vt:variant>
        <vt:lpwstr>https://www.nhs.uk/conditions/postural-tachycardia-syndrome/</vt:lpwstr>
      </vt:variant>
      <vt:variant>
        <vt:lpwstr/>
      </vt:variant>
      <vt:variant>
        <vt:i4>524293</vt:i4>
      </vt:variant>
      <vt:variant>
        <vt:i4>30</vt:i4>
      </vt:variant>
      <vt:variant>
        <vt:i4>0</vt:i4>
      </vt:variant>
      <vt:variant>
        <vt:i4>5</vt:i4>
      </vt:variant>
      <vt:variant>
        <vt:lpwstr>https://www.nhs.uk/conditions/dizziness/</vt:lpwstr>
      </vt:variant>
      <vt:variant>
        <vt:lpwstr/>
      </vt:variant>
      <vt:variant>
        <vt:i4>2490412</vt:i4>
      </vt:variant>
      <vt:variant>
        <vt:i4>27</vt:i4>
      </vt:variant>
      <vt:variant>
        <vt:i4>0</vt:i4>
      </vt:variant>
      <vt:variant>
        <vt:i4>5</vt:i4>
      </vt:variant>
      <vt:variant>
        <vt:lpwstr>https://www.escardio.org/Guidelines/Clinical-Practice-Guidelines/Syncope-Guidelines-on-Diagnosis-and-Management-of</vt:lpwstr>
      </vt:variant>
      <vt:variant>
        <vt:lpwstr/>
      </vt:variant>
      <vt:variant>
        <vt:i4>3080244</vt:i4>
      </vt:variant>
      <vt:variant>
        <vt:i4>24</vt:i4>
      </vt:variant>
      <vt:variant>
        <vt:i4>0</vt:i4>
      </vt:variant>
      <vt:variant>
        <vt:i4>5</vt:i4>
      </vt:variant>
      <vt:variant>
        <vt:lpwstr>https://onlinecjc.ca/article/S0828-282X(19)31550-8/fulltext</vt:lpwstr>
      </vt:variant>
      <vt:variant>
        <vt:lpwstr/>
      </vt:variant>
      <vt:variant>
        <vt:i4>2752550</vt:i4>
      </vt:variant>
      <vt:variant>
        <vt:i4>21</vt:i4>
      </vt:variant>
      <vt:variant>
        <vt:i4>0</vt:i4>
      </vt:variant>
      <vt:variant>
        <vt:i4>5</vt:i4>
      </vt:variant>
      <vt:variant>
        <vt:lpwstr>https://www.dysautonomiainternational.org/</vt:lpwstr>
      </vt:variant>
      <vt:variant>
        <vt:lpwstr/>
      </vt:variant>
      <vt:variant>
        <vt:i4>4980827</vt:i4>
      </vt:variant>
      <vt:variant>
        <vt:i4>18</vt:i4>
      </vt:variant>
      <vt:variant>
        <vt:i4>0</vt:i4>
      </vt:variant>
      <vt:variant>
        <vt:i4>5</vt:i4>
      </vt:variant>
      <vt:variant>
        <vt:lpwstr>http://www.stopfainting.com/</vt:lpwstr>
      </vt:variant>
      <vt:variant>
        <vt:lpwstr/>
      </vt:variant>
      <vt:variant>
        <vt:i4>3604589</vt:i4>
      </vt:variant>
      <vt:variant>
        <vt:i4>15</vt:i4>
      </vt:variant>
      <vt:variant>
        <vt:i4>0</vt:i4>
      </vt:variant>
      <vt:variant>
        <vt:i4>5</vt:i4>
      </vt:variant>
      <vt:variant>
        <vt:lpwstr>https://www.potsuk.org/</vt:lpwstr>
      </vt:variant>
      <vt:variant>
        <vt:lpwstr/>
      </vt:variant>
      <vt:variant>
        <vt:i4>4915282</vt:i4>
      </vt:variant>
      <vt:variant>
        <vt:i4>12</vt:i4>
      </vt:variant>
      <vt:variant>
        <vt:i4>0</vt:i4>
      </vt:variant>
      <vt:variant>
        <vt:i4>5</vt:i4>
      </vt:variant>
      <vt:variant>
        <vt:lpwstr>https://www.potsuk.org/managingpots/compression-clothing/</vt:lpwstr>
      </vt:variant>
      <vt:variant>
        <vt:lpwstr/>
      </vt:variant>
      <vt:variant>
        <vt:i4>3866663</vt:i4>
      </vt:variant>
      <vt:variant>
        <vt:i4>9</vt:i4>
      </vt:variant>
      <vt:variant>
        <vt:i4>0</vt:i4>
      </vt:variant>
      <vt:variant>
        <vt:i4>5</vt:i4>
      </vt:variant>
      <vt:variant>
        <vt:lpwstr>https://stopfainting.com/articles-105/</vt:lpwstr>
      </vt:variant>
      <vt:variant>
        <vt:lpwstr/>
      </vt:variant>
      <vt:variant>
        <vt:i4>3145788</vt:i4>
      </vt:variant>
      <vt:variant>
        <vt:i4>6</vt:i4>
      </vt:variant>
      <vt:variant>
        <vt:i4>0</vt:i4>
      </vt:variant>
      <vt:variant>
        <vt:i4>5</vt:i4>
      </vt:variant>
      <vt:variant>
        <vt:lpwstr>https://www.potsuk.org/managingpots/pots-and-exercise/</vt:lpwstr>
      </vt:variant>
      <vt:variant>
        <vt:lpwstr/>
      </vt:variant>
      <vt:variant>
        <vt:i4>3866656</vt:i4>
      </vt:variant>
      <vt:variant>
        <vt:i4>3</vt:i4>
      </vt:variant>
      <vt:variant>
        <vt:i4>0</vt:i4>
      </vt:variant>
      <vt:variant>
        <vt:i4>5</vt:i4>
      </vt:variant>
      <vt:variant>
        <vt:lpwstr>https://stopfainting.com/articles-201/</vt:lpwstr>
      </vt:variant>
      <vt:variant>
        <vt:lpwstr/>
      </vt:variant>
      <vt:variant>
        <vt:i4>3866663</vt:i4>
      </vt:variant>
      <vt:variant>
        <vt:i4>0</vt:i4>
      </vt:variant>
      <vt:variant>
        <vt:i4>0</vt:i4>
      </vt:variant>
      <vt:variant>
        <vt:i4>5</vt:i4>
      </vt:variant>
      <vt:variant>
        <vt:lpwstr>https://stopfainting.com/articles-105/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DANIEL, Andrew (NHS ENGLAND)</dc:creator>
  <cp:keywords/>
  <dc:description/>
  <cp:lastModifiedBy>BRAGANZA, Denise (NHS ENGLAND)</cp:lastModifiedBy>
  <cp:revision>46</cp:revision>
  <dcterms:created xsi:type="dcterms:W3CDTF">2026-01-22T19:40:00Z</dcterms:created>
  <dcterms:modified xsi:type="dcterms:W3CDTF">2026-03-03T16:14:00Z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0x010100B65F438F1A4505458CC99CD4B88167F8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